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B9" w:rsidRPr="009A0A30" w:rsidRDefault="002B54B9" w:rsidP="002B54B9">
      <w:pPr>
        <w:tabs>
          <w:tab w:val="center" w:pos="4680"/>
          <w:tab w:val="right" w:pos="9360"/>
        </w:tabs>
        <w:jc w:val="center"/>
        <w:rPr>
          <w:rFonts w:eastAsiaTheme="minorHAnsi" w:cstheme="minorBidi"/>
          <w:szCs w:val="24"/>
          <w:lang w:eastAsia="en-US"/>
        </w:rPr>
      </w:pPr>
      <w:r w:rsidRPr="009A0A3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91241853" r:id="rId9"/>
        </w:object>
      </w:r>
    </w:p>
    <w:p w:rsidR="002B54B9" w:rsidRPr="009A0A30" w:rsidRDefault="002B54B9" w:rsidP="002B54B9">
      <w:pPr>
        <w:tabs>
          <w:tab w:val="center" w:pos="4680"/>
          <w:tab w:val="right" w:pos="9360"/>
        </w:tabs>
        <w:rPr>
          <w:rFonts w:eastAsiaTheme="minorHAnsi" w:cstheme="minorBidi"/>
          <w:szCs w:val="24"/>
          <w:lang w:eastAsia="en-US"/>
        </w:rPr>
      </w:pPr>
    </w:p>
    <w:p w:rsidR="002B54B9" w:rsidRPr="009A0A30" w:rsidRDefault="002B54B9" w:rsidP="002B54B9">
      <w:pPr>
        <w:jc w:val="center"/>
        <w:rPr>
          <w:rFonts w:eastAsiaTheme="minorHAnsi" w:cstheme="minorBidi"/>
          <w:b/>
          <w:szCs w:val="24"/>
          <w:lang w:eastAsia="en-US"/>
        </w:rPr>
      </w:pPr>
      <w:r w:rsidRPr="009A0A30">
        <w:rPr>
          <w:rFonts w:eastAsiaTheme="minorHAnsi" w:cstheme="minorBidi"/>
          <w:b/>
          <w:szCs w:val="24"/>
          <w:lang w:eastAsia="en-US"/>
        </w:rPr>
        <w:t>COUR SUPRÊME DU CANADA</w:t>
      </w:r>
    </w:p>
    <w:p w:rsidR="002B54B9" w:rsidRPr="009A0A30" w:rsidRDefault="002B54B9" w:rsidP="002B54B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B54B9" w:rsidRPr="009A0A30" w:rsidTr="00342FDD">
        <w:trPr>
          <w:cantSplit/>
        </w:trPr>
        <w:tc>
          <w:tcPr>
            <w:tcW w:w="6768" w:type="dxa"/>
          </w:tcPr>
          <w:p w:rsidR="002B54B9" w:rsidRPr="00F60059" w:rsidRDefault="002B54B9" w:rsidP="002B54B9">
            <w:pPr>
              <w:spacing w:after="720"/>
              <w:jc w:val="both"/>
              <w:rPr>
                <w:lang w:val="en-CA"/>
              </w:rPr>
            </w:pPr>
            <w:r w:rsidRPr="009A0A30">
              <w:rPr>
                <w:b/>
                <w:smallCaps/>
              </w:rPr>
              <w:t>Référence :</w:t>
            </w:r>
            <w:r w:rsidRPr="009A0A30">
              <w:t xml:space="preserve"> Colombie-Britannique (</w:t>
            </w:r>
            <w:proofErr w:type="spellStart"/>
            <w:r w:rsidRPr="007E138C">
              <w:t>Workers</w:t>
            </w:r>
            <w:proofErr w:type="spellEnd"/>
            <w:r w:rsidRPr="007E138C">
              <w:t xml:space="preserve">’ Compensation </w:t>
            </w:r>
            <w:proofErr w:type="spellStart"/>
            <w:r w:rsidRPr="007E138C">
              <w:t>Board</w:t>
            </w:r>
            <w:proofErr w:type="spellEnd"/>
            <w:r w:rsidRPr="007E138C">
              <w:t>)</w:t>
            </w:r>
            <w:r w:rsidRPr="009A0A30">
              <w:t xml:space="preserve"> </w:t>
            </w:r>
            <w:r w:rsidRPr="009A0A30">
              <w:rPr>
                <w:i/>
              </w:rPr>
              <w:t>c.</w:t>
            </w:r>
            <w:r w:rsidRPr="009A0A30">
              <w:t xml:space="preserve"> </w:t>
            </w:r>
            <w:proofErr w:type="spellStart"/>
            <w:r w:rsidRPr="007E138C">
              <w:t>Figliola</w:t>
            </w:r>
            <w:proofErr w:type="spellEnd"/>
            <w:r w:rsidRPr="007E138C">
              <w:t>, 2011 CSC 52</w:t>
            </w:r>
            <w:r>
              <w:rPr>
                <w:smallCaps/>
                <w:lang w:val="en-US"/>
              </w:rPr>
              <w:t>, [2011] 3 R.C.S. 422</w:t>
            </w:r>
          </w:p>
          <w:p w:rsidR="002B54B9" w:rsidRPr="009A0A30" w:rsidRDefault="002B54B9" w:rsidP="00342FDD"/>
        </w:tc>
        <w:tc>
          <w:tcPr>
            <w:tcW w:w="2808" w:type="dxa"/>
          </w:tcPr>
          <w:p w:rsidR="002B54B9" w:rsidRPr="009A0A30" w:rsidRDefault="002B54B9" w:rsidP="00342FDD">
            <w:r w:rsidRPr="009A0A30">
              <w:rPr>
                <w:b/>
                <w:smallCaps/>
              </w:rPr>
              <w:t>Date :</w:t>
            </w:r>
            <w:r w:rsidRPr="009A0A30">
              <w:t xml:space="preserve"> 20111027</w:t>
            </w:r>
          </w:p>
          <w:p w:rsidR="002B54B9" w:rsidRPr="009A0A30" w:rsidRDefault="002B54B9" w:rsidP="00342FDD">
            <w:r w:rsidRPr="009A0A30">
              <w:rPr>
                <w:b/>
                <w:smallCaps/>
              </w:rPr>
              <w:t>Dossier :</w:t>
            </w:r>
            <w:r w:rsidRPr="009A0A30">
              <w:t xml:space="preserve"> 33648</w:t>
            </w:r>
          </w:p>
        </w:tc>
      </w:tr>
    </w:tbl>
    <w:p w:rsidR="002B54B9" w:rsidRPr="009A0A30" w:rsidRDefault="002B54B9" w:rsidP="002B54B9">
      <w:pPr>
        <w:rPr>
          <w:rFonts w:eastAsiaTheme="minorHAnsi" w:cstheme="minorBidi"/>
          <w:szCs w:val="24"/>
          <w:lang w:eastAsia="en-US"/>
        </w:rPr>
      </w:pPr>
    </w:p>
    <w:p w:rsidR="002B54B9" w:rsidRPr="009A0A30" w:rsidRDefault="002B54B9" w:rsidP="002B54B9">
      <w:pPr>
        <w:rPr>
          <w:rFonts w:eastAsiaTheme="minorHAnsi" w:cstheme="minorBidi"/>
          <w:b/>
          <w:smallCaps/>
          <w:szCs w:val="24"/>
          <w:lang w:eastAsia="en-US"/>
        </w:rPr>
      </w:pPr>
      <w:r w:rsidRPr="009A0A30">
        <w:rPr>
          <w:rFonts w:eastAsiaTheme="minorHAnsi" w:cstheme="minorBidi"/>
          <w:b/>
          <w:smallCaps/>
          <w:szCs w:val="24"/>
          <w:lang w:eastAsia="en-US"/>
        </w:rPr>
        <w:t>Entre :</w:t>
      </w:r>
    </w:p>
    <w:p w:rsidR="002B54B9" w:rsidRPr="009A0A30" w:rsidRDefault="002B54B9" w:rsidP="002B54B9">
      <w:pPr>
        <w:jc w:val="center"/>
        <w:rPr>
          <w:rFonts w:eastAsiaTheme="minorHAnsi" w:cstheme="minorBidi"/>
          <w:b/>
          <w:szCs w:val="24"/>
          <w:lang w:eastAsia="en-US"/>
        </w:rPr>
      </w:pPr>
      <w:proofErr w:type="spellStart"/>
      <w:r w:rsidRPr="009A0A30">
        <w:rPr>
          <w:rFonts w:eastAsiaTheme="minorHAnsi" w:cstheme="minorBidi"/>
          <w:b/>
          <w:szCs w:val="24"/>
          <w:lang w:eastAsia="en-US"/>
        </w:rPr>
        <w:t>Workers</w:t>
      </w:r>
      <w:proofErr w:type="spellEnd"/>
      <w:r w:rsidRPr="009A0A30">
        <w:rPr>
          <w:rFonts w:eastAsiaTheme="minorHAnsi" w:cstheme="minorBidi"/>
          <w:b/>
          <w:szCs w:val="24"/>
          <w:lang w:eastAsia="en-US"/>
        </w:rPr>
        <w:t xml:space="preserve">’ Compensation </w:t>
      </w:r>
      <w:proofErr w:type="spellStart"/>
      <w:r w:rsidRPr="009A0A30">
        <w:rPr>
          <w:rFonts w:eastAsiaTheme="minorHAnsi" w:cstheme="minorBidi"/>
          <w:b/>
          <w:szCs w:val="24"/>
          <w:lang w:eastAsia="en-US"/>
        </w:rPr>
        <w:t>Board</w:t>
      </w:r>
      <w:proofErr w:type="spellEnd"/>
      <w:r w:rsidRPr="009A0A30">
        <w:rPr>
          <w:rFonts w:eastAsiaTheme="minorHAnsi" w:cstheme="minorBidi"/>
          <w:b/>
          <w:szCs w:val="24"/>
          <w:lang w:eastAsia="en-US"/>
        </w:rPr>
        <w:t xml:space="preserve"> de la Colombie-Britannique</w:t>
      </w:r>
    </w:p>
    <w:p w:rsidR="002B54B9" w:rsidRPr="009A0A30" w:rsidRDefault="002B54B9" w:rsidP="002B54B9">
      <w:pPr>
        <w:jc w:val="center"/>
        <w:rPr>
          <w:rFonts w:eastAsiaTheme="minorHAnsi" w:cstheme="minorBidi"/>
          <w:szCs w:val="24"/>
          <w:lang w:val="en-US" w:eastAsia="en-US"/>
        </w:rPr>
      </w:pPr>
      <w:proofErr w:type="spellStart"/>
      <w:r w:rsidRPr="009A0A30">
        <w:rPr>
          <w:rFonts w:eastAsiaTheme="minorHAnsi" w:cstheme="minorBidi"/>
          <w:szCs w:val="24"/>
          <w:lang w:val="en-US" w:eastAsia="en-US"/>
        </w:rPr>
        <w:t>Appelant</w:t>
      </w:r>
      <w:proofErr w:type="spellEnd"/>
    </w:p>
    <w:p w:rsidR="002B54B9" w:rsidRPr="009A0A30" w:rsidRDefault="002B54B9" w:rsidP="002B54B9">
      <w:pPr>
        <w:jc w:val="center"/>
        <w:rPr>
          <w:rFonts w:eastAsiaTheme="minorHAnsi" w:cstheme="minorBidi"/>
          <w:szCs w:val="24"/>
          <w:lang w:val="en-US" w:eastAsia="en-US"/>
        </w:rPr>
      </w:pPr>
      <w:proofErr w:type="gramStart"/>
      <w:r w:rsidRPr="009A0A30">
        <w:rPr>
          <w:rFonts w:eastAsiaTheme="minorHAnsi" w:cstheme="minorBidi"/>
          <w:szCs w:val="24"/>
          <w:lang w:val="en-US" w:eastAsia="en-US"/>
        </w:rPr>
        <w:t>et</w:t>
      </w:r>
      <w:proofErr w:type="gramEnd"/>
    </w:p>
    <w:p w:rsidR="002B54B9" w:rsidRPr="009A0A30" w:rsidRDefault="002B54B9" w:rsidP="002B54B9">
      <w:pPr>
        <w:jc w:val="center"/>
        <w:rPr>
          <w:rFonts w:eastAsiaTheme="minorHAnsi" w:cstheme="minorBidi"/>
          <w:b/>
          <w:szCs w:val="24"/>
          <w:lang w:val="en-CA" w:eastAsia="en-US"/>
        </w:rPr>
      </w:pPr>
      <w:proofErr w:type="spellStart"/>
      <w:r w:rsidRPr="009A0A30">
        <w:rPr>
          <w:rFonts w:eastAsiaTheme="minorHAnsi" w:cstheme="minorBidi"/>
          <w:b/>
          <w:szCs w:val="24"/>
          <w:lang w:val="en-CA" w:eastAsia="en-US"/>
        </w:rPr>
        <w:t>Guiseppe</w:t>
      </w:r>
      <w:proofErr w:type="spellEnd"/>
      <w:r w:rsidRPr="009A0A30">
        <w:rPr>
          <w:rFonts w:eastAsiaTheme="minorHAnsi" w:cstheme="minorBidi"/>
          <w:b/>
          <w:szCs w:val="24"/>
          <w:lang w:val="en-CA" w:eastAsia="en-US"/>
        </w:rPr>
        <w:t xml:space="preserve"> </w:t>
      </w:r>
      <w:proofErr w:type="spellStart"/>
      <w:r w:rsidRPr="009A0A30">
        <w:rPr>
          <w:rFonts w:eastAsiaTheme="minorHAnsi" w:cstheme="minorBidi"/>
          <w:b/>
          <w:szCs w:val="24"/>
          <w:lang w:val="en-CA" w:eastAsia="en-US"/>
        </w:rPr>
        <w:t>Figliola</w:t>
      </w:r>
      <w:proofErr w:type="spellEnd"/>
      <w:r w:rsidRPr="009A0A30">
        <w:rPr>
          <w:rFonts w:eastAsiaTheme="minorHAnsi" w:cstheme="minorBidi"/>
          <w:b/>
          <w:szCs w:val="24"/>
          <w:lang w:val="en-CA" w:eastAsia="en-US"/>
        </w:rPr>
        <w:t xml:space="preserve">, Kimberley </w:t>
      </w:r>
      <w:proofErr w:type="spellStart"/>
      <w:r w:rsidRPr="009A0A30">
        <w:rPr>
          <w:rFonts w:eastAsiaTheme="minorHAnsi" w:cstheme="minorBidi"/>
          <w:b/>
          <w:szCs w:val="24"/>
          <w:lang w:val="en-CA" w:eastAsia="en-US"/>
        </w:rPr>
        <w:t>Sallis</w:t>
      </w:r>
      <w:proofErr w:type="spellEnd"/>
      <w:r w:rsidRPr="009A0A30">
        <w:rPr>
          <w:rFonts w:eastAsiaTheme="minorHAnsi" w:cstheme="minorBidi"/>
          <w:b/>
          <w:szCs w:val="24"/>
          <w:lang w:val="en-CA" w:eastAsia="en-US"/>
        </w:rPr>
        <w:t xml:space="preserve">, Barry </w:t>
      </w:r>
      <w:proofErr w:type="spellStart"/>
      <w:r w:rsidRPr="009A0A30">
        <w:rPr>
          <w:rFonts w:eastAsiaTheme="minorHAnsi" w:cstheme="minorBidi"/>
          <w:b/>
          <w:szCs w:val="24"/>
          <w:lang w:val="en-CA" w:eastAsia="en-US"/>
        </w:rPr>
        <w:t>Dearden</w:t>
      </w:r>
      <w:proofErr w:type="spellEnd"/>
      <w:r w:rsidRPr="009A0A30">
        <w:rPr>
          <w:rFonts w:eastAsiaTheme="minorHAnsi" w:cstheme="minorBidi"/>
          <w:b/>
          <w:szCs w:val="24"/>
          <w:lang w:val="en-CA" w:eastAsia="en-US"/>
        </w:rPr>
        <w:t xml:space="preserve"> </w:t>
      </w:r>
      <w:proofErr w:type="gramStart"/>
      <w:r w:rsidRPr="009A0A30">
        <w:rPr>
          <w:rFonts w:eastAsiaTheme="minorHAnsi" w:cstheme="minorBidi"/>
          <w:b/>
          <w:szCs w:val="24"/>
          <w:lang w:val="en-CA" w:eastAsia="en-US"/>
        </w:rPr>
        <w:t>et</w:t>
      </w:r>
      <w:proofErr w:type="gramEnd"/>
      <w:r w:rsidRPr="009A0A30">
        <w:rPr>
          <w:rFonts w:eastAsiaTheme="minorHAnsi" w:cstheme="minorBidi"/>
          <w:b/>
          <w:szCs w:val="24"/>
          <w:lang w:val="en-CA" w:eastAsia="en-US"/>
        </w:rPr>
        <w:t xml:space="preserve"> </w:t>
      </w:r>
    </w:p>
    <w:p w:rsidR="002B54B9" w:rsidRPr="009A0A30" w:rsidRDefault="002B54B9" w:rsidP="002B54B9">
      <w:pPr>
        <w:jc w:val="center"/>
        <w:rPr>
          <w:rFonts w:eastAsiaTheme="minorHAnsi" w:cstheme="minorBidi"/>
          <w:b/>
          <w:szCs w:val="24"/>
          <w:lang w:val="en-US" w:eastAsia="en-US"/>
        </w:rPr>
      </w:pPr>
      <w:r w:rsidRPr="009A0A30">
        <w:rPr>
          <w:rFonts w:eastAsiaTheme="minorHAnsi" w:cstheme="minorBidi"/>
          <w:b/>
          <w:szCs w:val="24"/>
          <w:lang w:val="en-CA" w:eastAsia="en-US"/>
        </w:rPr>
        <w:t>British Columbia Human Rights Tribunal</w:t>
      </w:r>
    </w:p>
    <w:p w:rsidR="002B54B9" w:rsidRPr="009A0A30" w:rsidRDefault="002B54B9" w:rsidP="002B54B9">
      <w:pPr>
        <w:jc w:val="center"/>
        <w:rPr>
          <w:rFonts w:eastAsiaTheme="minorHAnsi" w:cstheme="minorBidi"/>
          <w:szCs w:val="24"/>
          <w:lang w:eastAsia="en-US"/>
        </w:rPr>
      </w:pPr>
      <w:r w:rsidRPr="009A0A30">
        <w:rPr>
          <w:rFonts w:eastAsiaTheme="minorHAnsi" w:cstheme="minorBidi"/>
          <w:szCs w:val="24"/>
          <w:lang w:eastAsia="en-US"/>
        </w:rPr>
        <w:t>Intimés</w:t>
      </w:r>
    </w:p>
    <w:p w:rsidR="002B54B9" w:rsidRPr="009A0A30" w:rsidRDefault="002B54B9" w:rsidP="002B54B9">
      <w:pPr>
        <w:jc w:val="center"/>
        <w:rPr>
          <w:rFonts w:eastAsiaTheme="minorHAnsi" w:cstheme="minorBidi"/>
          <w:szCs w:val="24"/>
          <w:lang w:eastAsia="en-US"/>
        </w:rPr>
      </w:pPr>
      <w:r w:rsidRPr="009A0A30">
        <w:rPr>
          <w:rFonts w:eastAsiaTheme="minorHAnsi" w:cstheme="minorBidi"/>
          <w:szCs w:val="24"/>
          <w:lang w:eastAsia="en-US"/>
        </w:rPr>
        <w:t>- et -</w:t>
      </w:r>
    </w:p>
    <w:p w:rsidR="002B54B9" w:rsidRPr="009A0A30" w:rsidRDefault="002B54B9" w:rsidP="002B54B9">
      <w:pPr>
        <w:jc w:val="center"/>
        <w:rPr>
          <w:rFonts w:eastAsiaTheme="minorHAnsi" w:cstheme="minorBidi"/>
          <w:b/>
          <w:szCs w:val="24"/>
          <w:lang w:eastAsia="en-US"/>
        </w:rPr>
      </w:pPr>
      <w:r w:rsidRPr="009A0A30">
        <w:rPr>
          <w:rFonts w:eastAsiaTheme="minorHAnsi" w:cstheme="minorBidi"/>
          <w:b/>
          <w:szCs w:val="24"/>
          <w:lang w:eastAsia="en-US"/>
        </w:rPr>
        <w:t>Procureur général de la Colombie-Britannique, Coalition of BC Businesses,</w:t>
      </w:r>
    </w:p>
    <w:p w:rsidR="002B54B9" w:rsidRPr="009A0A30" w:rsidRDefault="002B54B9" w:rsidP="002B54B9">
      <w:pPr>
        <w:jc w:val="center"/>
        <w:rPr>
          <w:rFonts w:eastAsiaTheme="minorHAnsi" w:cstheme="minorBidi"/>
          <w:b/>
          <w:szCs w:val="24"/>
          <w:lang w:eastAsia="en-US"/>
        </w:rPr>
      </w:pPr>
      <w:r w:rsidRPr="009A0A30">
        <w:rPr>
          <w:rFonts w:eastAsiaTheme="minorHAnsi" w:cstheme="minorBidi"/>
          <w:b/>
          <w:szCs w:val="24"/>
          <w:lang w:eastAsia="en-US"/>
        </w:rPr>
        <w:t xml:space="preserve">Commission canadienne des droits de la personne, Alberta </w:t>
      </w:r>
      <w:proofErr w:type="spellStart"/>
      <w:r w:rsidRPr="009A0A30">
        <w:rPr>
          <w:rFonts w:eastAsiaTheme="minorHAnsi" w:cstheme="minorBidi"/>
          <w:b/>
          <w:szCs w:val="24"/>
          <w:lang w:eastAsia="en-US"/>
        </w:rPr>
        <w:t>Human</w:t>
      </w:r>
      <w:proofErr w:type="spellEnd"/>
      <w:r w:rsidRPr="009A0A30">
        <w:rPr>
          <w:rFonts w:eastAsiaTheme="minorHAnsi" w:cstheme="minorBidi"/>
          <w:b/>
          <w:szCs w:val="24"/>
          <w:lang w:eastAsia="en-US"/>
        </w:rPr>
        <w:t xml:space="preserve"> </w:t>
      </w:r>
      <w:proofErr w:type="spellStart"/>
      <w:r w:rsidRPr="009A0A30">
        <w:rPr>
          <w:rFonts w:eastAsiaTheme="minorHAnsi" w:cstheme="minorBidi"/>
          <w:b/>
          <w:szCs w:val="24"/>
          <w:lang w:eastAsia="en-US"/>
        </w:rPr>
        <w:t>Rights</w:t>
      </w:r>
      <w:proofErr w:type="spellEnd"/>
    </w:p>
    <w:p w:rsidR="002B54B9" w:rsidRPr="009A0A30" w:rsidRDefault="002B54B9" w:rsidP="002B54B9">
      <w:pPr>
        <w:jc w:val="center"/>
        <w:rPr>
          <w:rFonts w:eastAsiaTheme="minorHAnsi" w:cstheme="minorBidi"/>
          <w:b/>
          <w:szCs w:val="24"/>
          <w:lang w:val="en-US" w:eastAsia="en-US"/>
        </w:rPr>
      </w:pPr>
      <w:r w:rsidRPr="009A0A30">
        <w:rPr>
          <w:rFonts w:eastAsiaTheme="minorHAnsi" w:cstheme="minorBidi"/>
          <w:b/>
          <w:szCs w:val="24"/>
          <w:lang w:val="en-CA" w:eastAsia="en-US"/>
        </w:rPr>
        <w:t xml:space="preserve">Commission </w:t>
      </w:r>
      <w:proofErr w:type="gramStart"/>
      <w:r w:rsidRPr="009A0A30">
        <w:rPr>
          <w:rFonts w:eastAsiaTheme="minorHAnsi" w:cstheme="minorBidi"/>
          <w:b/>
          <w:szCs w:val="24"/>
          <w:lang w:val="en-CA" w:eastAsia="en-US"/>
        </w:rPr>
        <w:t>et</w:t>
      </w:r>
      <w:proofErr w:type="gramEnd"/>
      <w:r w:rsidRPr="009A0A30">
        <w:rPr>
          <w:rFonts w:eastAsiaTheme="minorHAnsi" w:cstheme="minorBidi"/>
          <w:b/>
          <w:szCs w:val="24"/>
          <w:lang w:val="en-CA" w:eastAsia="en-US"/>
        </w:rPr>
        <w:t xml:space="preserve"> Vancouver Area Human Rights Coalition Society</w:t>
      </w:r>
    </w:p>
    <w:p w:rsidR="002B54B9" w:rsidRPr="009A0A30" w:rsidRDefault="002B54B9" w:rsidP="002B54B9">
      <w:pPr>
        <w:jc w:val="center"/>
        <w:rPr>
          <w:rFonts w:eastAsiaTheme="minorHAnsi" w:cstheme="minorBidi"/>
          <w:szCs w:val="24"/>
          <w:lang w:eastAsia="en-US"/>
        </w:rPr>
      </w:pPr>
      <w:r w:rsidRPr="009A0A30">
        <w:rPr>
          <w:rFonts w:eastAsiaTheme="minorHAnsi" w:cstheme="minorBidi"/>
          <w:szCs w:val="24"/>
          <w:lang w:eastAsia="en-US"/>
        </w:rPr>
        <w:t>Intervenants</w:t>
      </w:r>
    </w:p>
    <w:p w:rsidR="002B54B9" w:rsidRPr="009A0A30" w:rsidRDefault="002B54B9" w:rsidP="002B54B9">
      <w:pPr>
        <w:rPr>
          <w:rFonts w:eastAsiaTheme="minorHAnsi" w:cstheme="minorBidi"/>
          <w:szCs w:val="24"/>
          <w:lang w:eastAsia="en-US"/>
        </w:rPr>
      </w:pPr>
    </w:p>
    <w:p w:rsidR="002B54B9" w:rsidRPr="009A0A30" w:rsidRDefault="002B54B9" w:rsidP="002B54B9">
      <w:pPr>
        <w:rPr>
          <w:rFonts w:eastAsiaTheme="minorHAnsi" w:cstheme="minorBidi"/>
          <w:szCs w:val="24"/>
          <w:lang w:eastAsia="en-US"/>
        </w:rPr>
      </w:pPr>
    </w:p>
    <w:p w:rsidR="002B54B9" w:rsidRPr="009A0A30" w:rsidRDefault="002B54B9" w:rsidP="002B54B9">
      <w:pPr>
        <w:jc w:val="center"/>
        <w:rPr>
          <w:rFonts w:eastAsiaTheme="minorHAnsi" w:cstheme="minorBidi"/>
          <w:b/>
          <w:smallCaps/>
          <w:szCs w:val="24"/>
          <w:lang w:eastAsia="en-US"/>
        </w:rPr>
      </w:pPr>
      <w:r w:rsidRPr="009A0A30">
        <w:rPr>
          <w:rFonts w:eastAsiaTheme="minorHAnsi" w:cstheme="minorBidi"/>
          <w:b/>
          <w:smallCaps/>
          <w:szCs w:val="24"/>
          <w:lang w:eastAsia="en-US"/>
        </w:rPr>
        <w:t>Traduction française officielle</w:t>
      </w:r>
    </w:p>
    <w:p w:rsidR="002B54B9" w:rsidRPr="009A0A30" w:rsidRDefault="002B54B9" w:rsidP="002B54B9">
      <w:pPr>
        <w:rPr>
          <w:rFonts w:eastAsiaTheme="minorHAnsi" w:cstheme="minorBidi"/>
          <w:szCs w:val="24"/>
          <w:lang w:eastAsia="en-US"/>
        </w:rPr>
      </w:pPr>
    </w:p>
    <w:p w:rsidR="002B54B9" w:rsidRPr="009A0A30" w:rsidRDefault="002B54B9" w:rsidP="002B54B9">
      <w:pPr>
        <w:rPr>
          <w:rFonts w:eastAsiaTheme="minorHAnsi" w:cstheme="minorBidi"/>
          <w:szCs w:val="24"/>
          <w:lang w:eastAsia="en-US"/>
        </w:rPr>
      </w:pPr>
      <w:r w:rsidRPr="009A0A30">
        <w:rPr>
          <w:rFonts w:eastAsiaTheme="minorHAnsi" w:cstheme="minorBidi"/>
          <w:b/>
          <w:smallCaps/>
          <w:szCs w:val="24"/>
          <w:lang w:eastAsia="en-US"/>
        </w:rPr>
        <w:t>Coram :</w:t>
      </w:r>
      <w:r w:rsidRPr="009A0A30">
        <w:rPr>
          <w:rFonts w:eastAsiaTheme="minorHAnsi" w:cstheme="minorBidi"/>
          <w:szCs w:val="24"/>
          <w:lang w:eastAsia="en-US"/>
        </w:rPr>
        <w:t xml:space="preserve"> La juge en chef </w:t>
      </w:r>
      <w:proofErr w:type="spellStart"/>
      <w:r w:rsidRPr="009A0A30">
        <w:rPr>
          <w:rFonts w:eastAsiaTheme="minorHAnsi" w:cstheme="minorBidi"/>
          <w:szCs w:val="24"/>
          <w:lang w:eastAsia="en-US"/>
        </w:rPr>
        <w:t>McLachlin</w:t>
      </w:r>
      <w:proofErr w:type="spellEnd"/>
      <w:r w:rsidRPr="009A0A30">
        <w:rPr>
          <w:rFonts w:eastAsiaTheme="minorHAnsi" w:cstheme="minorBidi"/>
          <w:szCs w:val="24"/>
          <w:lang w:eastAsia="en-US"/>
        </w:rPr>
        <w:t xml:space="preserve"> et les juges </w:t>
      </w:r>
      <w:proofErr w:type="spellStart"/>
      <w:r w:rsidRPr="009A0A30">
        <w:rPr>
          <w:rFonts w:eastAsiaTheme="minorHAnsi" w:cstheme="minorBidi"/>
          <w:szCs w:val="24"/>
          <w:lang w:eastAsia="en-US"/>
        </w:rPr>
        <w:t>Binnie</w:t>
      </w:r>
      <w:proofErr w:type="spellEnd"/>
      <w:r w:rsidRPr="009A0A30">
        <w:rPr>
          <w:rFonts w:eastAsiaTheme="minorHAnsi" w:cstheme="minorBidi"/>
          <w:szCs w:val="24"/>
          <w:lang w:eastAsia="en-US"/>
        </w:rPr>
        <w:t xml:space="preserve">, </w:t>
      </w:r>
      <w:proofErr w:type="spellStart"/>
      <w:r w:rsidRPr="009A0A30">
        <w:rPr>
          <w:rFonts w:eastAsiaTheme="minorHAnsi" w:cstheme="minorBidi"/>
          <w:szCs w:val="24"/>
          <w:lang w:eastAsia="en-US"/>
        </w:rPr>
        <w:t>LeBel</w:t>
      </w:r>
      <w:proofErr w:type="spellEnd"/>
      <w:r w:rsidRPr="009A0A30">
        <w:rPr>
          <w:rFonts w:eastAsiaTheme="minorHAnsi" w:cstheme="minorBidi"/>
          <w:szCs w:val="24"/>
          <w:lang w:eastAsia="en-US"/>
        </w:rPr>
        <w:t xml:space="preserve">, Deschamps, Fish, Abella, Charron, </w:t>
      </w:r>
      <w:proofErr w:type="spellStart"/>
      <w:r w:rsidRPr="009A0A30">
        <w:rPr>
          <w:rFonts w:eastAsiaTheme="minorHAnsi" w:cstheme="minorBidi"/>
          <w:szCs w:val="24"/>
          <w:lang w:eastAsia="en-US"/>
        </w:rPr>
        <w:t>Rothstein</w:t>
      </w:r>
      <w:proofErr w:type="spellEnd"/>
      <w:r w:rsidRPr="009A0A30">
        <w:rPr>
          <w:rFonts w:eastAsiaTheme="minorHAnsi" w:cstheme="minorBidi"/>
          <w:szCs w:val="24"/>
          <w:lang w:eastAsia="en-US"/>
        </w:rPr>
        <w:t xml:space="preserve"> et Cromwell</w:t>
      </w:r>
    </w:p>
    <w:p w:rsidR="002B54B9" w:rsidRPr="009A0A30" w:rsidRDefault="002B54B9" w:rsidP="002B54B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B54B9" w:rsidRPr="009A0A30" w:rsidTr="00342FDD">
        <w:trPr>
          <w:cantSplit/>
        </w:trPr>
        <w:tc>
          <w:tcPr>
            <w:tcW w:w="3618" w:type="dxa"/>
          </w:tcPr>
          <w:p w:rsidR="002B54B9" w:rsidRPr="009A0A30" w:rsidRDefault="002B54B9" w:rsidP="00342FDD">
            <w:pPr>
              <w:rPr>
                <w:b/>
                <w:smallCaps/>
              </w:rPr>
            </w:pPr>
            <w:r w:rsidRPr="009A0A30">
              <w:rPr>
                <w:b/>
                <w:smallCaps/>
              </w:rPr>
              <w:t>Motifs de jugement :</w:t>
            </w:r>
          </w:p>
          <w:p w:rsidR="002B54B9" w:rsidRPr="009A0A30" w:rsidRDefault="002B54B9" w:rsidP="00342FDD">
            <w:r w:rsidRPr="009A0A30">
              <w:t>(par. 1 à 55)</w:t>
            </w:r>
          </w:p>
          <w:p w:rsidR="002B54B9" w:rsidRPr="009A0A30" w:rsidRDefault="002B54B9" w:rsidP="00342FDD"/>
          <w:p w:rsidR="002B54B9" w:rsidRPr="009A0A30" w:rsidRDefault="002B54B9" w:rsidP="00342FDD">
            <w:pPr>
              <w:rPr>
                <w:b/>
                <w:smallCaps/>
              </w:rPr>
            </w:pPr>
            <w:r w:rsidRPr="009A0A30">
              <w:rPr>
                <w:b/>
                <w:smallCaps/>
              </w:rPr>
              <w:t>Motifs concordants quant au résultat :</w:t>
            </w:r>
          </w:p>
          <w:p w:rsidR="002B54B9" w:rsidRPr="009A0A30" w:rsidRDefault="002B54B9" w:rsidP="00342FDD">
            <w:pPr>
              <w:rPr>
                <w:b/>
                <w:smallCaps/>
              </w:rPr>
            </w:pPr>
            <w:r w:rsidRPr="009A0A30">
              <w:t>(par. 56 à 99)</w:t>
            </w:r>
          </w:p>
        </w:tc>
        <w:tc>
          <w:tcPr>
            <w:tcW w:w="5958" w:type="dxa"/>
          </w:tcPr>
          <w:p w:rsidR="002B54B9" w:rsidRPr="009A0A30" w:rsidRDefault="002B54B9" w:rsidP="00342FDD">
            <w:r w:rsidRPr="009A0A30">
              <w:t xml:space="preserve">La juge Abella (avec l’accord des juges </w:t>
            </w:r>
            <w:proofErr w:type="spellStart"/>
            <w:r w:rsidRPr="009A0A30">
              <w:t>LeBel</w:t>
            </w:r>
            <w:proofErr w:type="spellEnd"/>
            <w:r w:rsidRPr="009A0A30">
              <w:t xml:space="preserve">, Deschamps, Charron et </w:t>
            </w:r>
            <w:proofErr w:type="spellStart"/>
            <w:r w:rsidRPr="009A0A30">
              <w:t>Rothstein</w:t>
            </w:r>
            <w:proofErr w:type="spellEnd"/>
            <w:r w:rsidRPr="009A0A30">
              <w:t>)</w:t>
            </w:r>
          </w:p>
          <w:p w:rsidR="002B54B9" w:rsidRPr="009A0A30" w:rsidRDefault="002B54B9" w:rsidP="00342FDD"/>
          <w:p w:rsidR="002B54B9" w:rsidRPr="009A0A30" w:rsidRDefault="002B54B9" w:rsidP="00342FDD">
            <w:r w:rsidRPr="009A0A30">
              <w:t xml:space="preserve">Le juge Cromwell (avec l’accord de la juge en chef </w:t>
            </w:r>
            <w:proofErr w:type="spellStart"/>
            <w:r w:rsidRPr="009A0A30">
              <w:t>McLachlin</w:t>
            </w:r>
            <w:proofErr w:type="spellEnd"/>
            <w:r w:rsidRPr="009A0A30">
              <w:t xml:space="preserve"> et des juges </w:t>
            </w:r>
            <w:proofErr w:type="spellStart"/>
            <w:r w:rsidRPr="009A0A30">
              <w:t>Binnie</w:t>
            </w:r>
            <w:proofErr w:type="spellEnd"/>
            <w:r w:rsidRPr="009A0A30">
              <w:t xml:space="preserve"> et Fish)</w:t>
            </w:r>
          </w:p>
        </w:tc>
      </w:tr>
    </w:tbl>
    <w:p w:rsidR="002B54B9" w:rsidRPr="009A0A30" w:rsidRDefault="002B54B9" w:rsidP="002B54B9">
      <w:pPr>
        <w:rPr>
          <w:rFonts w:eastAsiaTheme="minorHAnsi" w:cstheme="minorBidi"/>
          <w:szCs w:val="24"/>
          <w:lang w:eastAsia="en-US"/>
        </w:rPr>
      </w:pPr>
    </w:p>
    <w:p w:rsidR="002B54B9" w:rsidRPr="009A0A30" w:rsidRDefault="002B54B9" w:rsidP="002B54B9">
      <w:pPr>
        <w:rPr>
          <w:rFonts w:eastAsiaTheme="minorHAnsi" w:cstheme="minorBidi"/>
          <w:szCs w:val="24"/>
          <w:lang w:eastAsia="en-US"/>
        </w:rPr>
      </w:pPr>
    </w:p>
    <w:p w:rsidR="002B54B9" w:rsidRPr="009A0A30" w:rsidRDefault="002B54B9" w:rsidP="002B54B9">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B54B9" w:rsidRPr="007E138C" w:rsidRDefault="002B54B9" w:rsidP="002B54B9">
      <w:pPr>
        <w:rPr>
          <w:rStyle w:val="SCCAppellantForRunningHeadChar"/>
        </w:rPr>
      </w:pPr>
      <w:r w:rsidRPr="007E138C">
        <w:rPr>
          <w:rStyle w:val="SCCAppellantForRunningHeadChar"/>
        </w:rPr>
        <w:br w:type="page"/>
      </w:r>
    </w:p>
    <w:p w:rsidR="008322BD" w:rsidRPr="00F60059" w:rsidRDefault="00DD4A74" w:rsidP="00BE155A">
      <w:pPr>
        <w:spacing w:after="720"/>
        <w:jc w:val="both"/>
        <w:rPr>
          <w:lang w:val="en-CA"/>
        </w:rPr>
      </w:pPr>
      <w:proofErr w:type="spellStart"/>
      <w:r w:rsidRPr="00DD4A74">
        <w:rPr>
          <w:lang w:val="en-US"/>
        </w:rPr>
        <w:lastRenderedPageBreak/>
        <w:t>Colombie</w:t>
      </w:r>
      <w:r>
        <w:rPr>
          <w:lang w:val="en-US"/>
        </w:rPr>
        <w:t>-</w:t>
      </w:r>
      <w:r w:rsidRPr="00DD4A74">
        <w:rPr>
          <w:lang w:val="en-US"/>
        </w:rPr>
        <w:t>Britannique</w:t>
      </w:r>
      <w:proofErr w:type="spellEnd"/>
      <w:r w:rsidRPr="00DD4A74">
        <w:rPr>
          <w:lang w:val="en-US"/>
        </w:rPr>
        <w:t xml:space="preserve"> (Workers’ Compensation Board) </w:t>
      </w:r>
      <w:r w:rsidRPr="00DD4A74">
        <w:rPr>
          <w:i/>
          <w:lang w:val="en-US"/>
        </w:rPr>
        <w:t>c.</w:t>
      </w:r>
      <w:r w:rsidRPr="00DD4A74">
        <w:rPr>
          <w:lang w:val="en-US"/>
        </w:rPr>
        <w:t xml:space="preserve"> </w:t>
      </w:r>
      <w:proofErr w:type="spellStart"/>
      <w:r w:rsidRPr="00DD4A74">
        <w:rPr>
          <w:lang w:val="en-US"/>
        </w:rPr>
        <w:t>Figliola</w:t>
      </w:r>
      <w:proofErr w:type="spellEnd"/>
      <w:r>
        <w:rPr>
          <w:smallCaps/>
          <w:lang w:val="en-CA"/>
        </w:rPr>
        <w:t xml:space="preserve">, </w:t>
      </w:r>
      <w:r>
        <w:rPr>
          <w:smallCaps/>
          <w:lang w:val="en-US"/>
        </w:rPr>
        <w:t>2011 CSC 52, [2011] 3 R.C.S. 422</w:t>
      </w:r>
    </w:p>
    <w:p w:rsidR="00740F9A" w:rsidRPr="00DD4A74" w:rsidRDefault="0031185A" w:rsidP="00BE155A">
      <w:pPr>
        <w:pStyle w:val="SCCLsocParty"/>
        <w:tabs>
          <w:tab w:val="right" w:pos="8280"/>
        </w:tabs>
        <w:spacing w:after="720"/>
      </w:pPr>
      <w:proofErr w:type="spellStart"/>
      <w:r w:rsidRPr="00DD4A74">
        <w:t>Workers</w:t>
      </w:r>
      <w:proofErr w:type="spellEnd"/>
      <w:r w:rsidR="00385464" w:rsidRPr="00DD4A74">
        <w:t>’</w:t>
      </w:r>
      <w:r w:rsidRPr="00DD4A74">
        <w:t xml:space="preserve"> Compensation </w:t>
      </w:r>
      <w:proofErr w:type="spellStart"/>
      <w:r w:rsidRPr="00DD4A74">
        <w:t>Board</w:t>
      </w:r>
      <w:proofErr w:type="spellEnd"/>
      <w:r w:rsidRPr="00DD4A74">
        <w:t xml:space="preserve"> </w:t>
      </w:r>
      <w:r w:rsidR="003257C0" w:rsidRPr="00DD4A74">
        <w:t xml:space="preserve">de la </w:t>
      </w:r>
      <w:proofErr w:type="spellStart"/>
      <w:r w:rsidR="003257C0" w:rsidRPr="00DD4A74">
        <w:t>C</w:t>
      </w:r>
      <w:r w:rsidR="007E5151" w:rsidRPr="00DD4A74">
        <w:t>olombie</w:t>
      </w:r>
      <w:r w:rsidR="007E5151" w:rsidRPr="00DD4A74">
        <w:noBreakHyphen/>
      </w:r>
      <w:r w:rsidR="003257C0" w:rsidRPr="00DD4A74">
        <w:t>Britannique</w:t>
      </w:r>
      <w:proofErr w:type="spellEnd"/>
      <w:r w:rsidR="00BE155A" w:rsidRPr="00DD4A74">
        <w:tab/>
      </w:r>
      <w:r w:rsidRPr="00DD4A74">
        <w:rPr>
          <w:b w:val="0"/>
          <w:i/>
        </w:rPr>
        <w:t>Appelant</w:t>
      </w:r>
      <w:r w:rsidR="009424FD" w:rsidRPr="00DD4A74">
        <w:rPr>
          <w:b w:val="0"/>
          <w:i/>
        </w:rPr>
        <w:t>e</w:t>
      </w:r>
    </w:p>
    <w:p w:rsidR="00740F9A" w:rsidRPr="00F60059" w:rsidRDefault="0031185A" w:rsidP="00BE155A">
      <w:pPr>
        <w:pStyle w:val="SCCLsocVersus"/>
        <w:spacing w:after="720"/>
        <w:rPr>
          <w:lang w:val="en-CA"/>
        </w:rPr>
      </w:pPr>
      <w:proofErr w:type="gramStart"/>
      <w:r w:rsidRPr="00F60059">
        <w:rPr>
          <w:lang w:val="en-CA"/>
        </w:rPr>
        <w:t>c</w:t>
      </w:r>
      <w:proofErr w:type="gramEnd"/>
      <w:r w:rsidR="00BE155A" w:rsidRPr="00F60059">
        <w:rPr>
          <w:lang w:val="en-CA"/>
        </w:rPr>
        <w:t>.</w:t>
      </w:r>
    </w:p>
    <w:p w:rsidR="00740F9A" w:rsidRPr="00F60059" w:rsidRDefault="0031185A">
      <w:pPr>
        <w:pStyle w:val="SCCLsocParty"/>
        <w:rPr>
          <w:lang w:val="en-CA"/>
        </w:rPr>
      </w:pPr>
      <w:proofErr w:type="spellStart"/>
      <w:r w:rsidRPr="00F60059">
        <w:rPr>
          <w:lang w:val="en-CA"/>
        </w:rPr>
        <w:t>Guiseppe</w:t>
      </w:r>
      <w:proofErr w:type="spellEnd"/>
      <w:r w:rsidRPr="00F60059">
        <w:rPr>
          <w:lang w:val="en-CA"/>
        </w:rPr>
        <w:t xml:space="preserve"> </w:t>
      </w:r>
      <w:proofErr w:type="spellStart"/>
      <w:r w:rsidRPr="00F60059">
        <w:rPr>
          <w:lang w:val="en-CA"/>
        </w:rPr>
        <w:t>Figliola</w:t>
      </w:r>
      <w:proofErr w:type="spellEnd"/>
      <w:r w:rsidRPr="00F60059">
        <w:rPr>
          <w:lang w:val="en-CA"/>
        </w:rPr>
        <w:t xml:space="preserve">, </w:t>
      </w:r>
    </w:p>
    <w:p w:rsidR="00740F9A" w:rsidRPr="00F60059" w:rsidRDefault="0031185A">
      <w:pPr>
        <w:pStyle w:val="SCCLsocParty"/>
        <w:rPr>
          <w:lang w:val="en-CA"/>
        </w:rPr>
      </w:pPr>
      <w:r w:rsidRPr="00F60059">
        <w:rPr>
          <w:lang w:val="en-CA"/>
        </w:rPr>
        <w:t xml:space="preserve">Kimberley </w:t>
      </w:r>
      <w:proofErr w:type="spellStart"/>
      <w:r w:rsidRPr="00F60059">
        <w:rPr>
          <w:lang w:val="en-CA"/>
        </w:rPr>
        <w:t>Sallis</w:t>
      </w:r>
      <w:proofErr w:type="spellEnd"/>
      <w:r w:rsidR="004D118D" w:rsidRPr="00F60059">
        <w:rPr>
          <w:lang w:val="en-CA"/>
        </w:rPr>
        <w:t>,</w:t>
      </w:r>
      <w:r w:rsidRPr="00F60059">
        <w:rPr>
          <w:lang w:val="en-CA"/>
        </w:rPr>
        <w:t xml:space="preserve"> Barry </w:t>
      </w:r>
      <w:proofErr w:type="spellStart"/>
      <w:r w:rsidRPr="00F60059">
        <w:rPr>
          <w:lang w:val="en-CA"/>
        </w:rPr>
        <w:t>Dearden</w:t>
      </w:r>
      <w:proofErr w:type="spellEnd"/>
      <w:r w:rsidR="004D118D" w:rsidRPr="00F60059">
        <w:rPr>
          <w:lang w:val="en-CA"/>
        </w:rPr>
        <w:t xml:space="preserve"> </w:t>
      </w:r>
      <w:proofErr w:type="gramStart"/>
      <w:r w:rsidR="004D118D" w:rsidRPr="00F60059">
        <w:rPr>
          <w:lang w:val="en-CA"/>
        </w:rPr>
        <w:t>et</w:t>
      </w:r>
      <w:proofErr w:type="gramEnd"/>
      <w:r w:rsidRPr="00F60059">
        <w:rPr>
          <w:lang w:val="en-CA"/>
        </w:rPr>
        <w:t xml:space="preserve"> </w:t>
      </w:r>
    </w:p>
    <w:p w:rsidR="00740F9A" w:rsidRPr="00F60059" w:rsidRDefault="0031185A" w:rsidP="00BE155A">
      <w:pPr>
        <w:pStyle w:val="SCCLsocParty"/>
        <w:tabs>
          <w:tab w:val="right" w:pos="8280"/>
        </w:tabs>
        <w:spacing w:after="720"/>
        <w:rPr>
          <w:lang w:val="en-CA"/>
        </w:rPr>
      </w:pPr>
      <w:r w:rsidRPr="00F60059">
        <w:rPr>
          <w:lang w:val="en-CA"/>
        </w:rPr>
        <w:t>British Columbia Human Rights Tribunal</w:t>
      </w:r>
      <w:r w:rsidR="00BE155A" w:rsidRPr="00F60059">
        <w:rPr>
          <w:lang w:val="en-CA"/>
        </w:rPr>
        <w:tab/>
      </w:r>
      <w:proofErr w:type="spellStart"/>
      <w:r w:rsidRPr="00F60059">
        <w:rPr>
          <w:b w:val="0"/>
          <w:i/>
          <w:lang w:val="en-CA"/>
        </w:rPr>
        <w:t>Intimés</w:t>
      </w:r>
      <w:proofErr w:type="spellEnd"/>
    </w:p>
    <w:p w:rsidR="00740F9A" w:rsidRPr="00F60059" w:rsidRDefault="0031185A" w:rsidP="00BE155A">
      <w:pPr>
        <w:pStyle w:val="SCCLsocOtherPartySeparator"/>
        <w:spacing w:after="720"/>
      </w:pPr>
      <w:proofErr w:type="gramStart"/>
      <w:r w:rsidRPr="00F60059">
        <w:t>et</w:t>
      </w:r>
      <w:proofErr w:type="gramEnd"/>
    </w:p>
    <w:p w:rsidR="00740F9A" w:rsidRPr="00F60059" w:rsidRDefault="0031185A">
      <w:pPr>
        <w:pStyle w:val="SCCLsocParty"/>
      </w:pPr>
      <w:r w:rsidRPr="00F60059">
        <w:t xml:space="preserve">Procureur général de la </w:t>
      </w:r>
      <w:proofErr w:type="spellStart"/>
      <w:r w:rsidRPr="00F60059">
        <w:t>Colombie</w:t>
      </w:r>
      <w:r w:rsidR="001A7570" w:rsidRPr="00F60059">
        <w:noBreakHyphen/>
      </w:r>
      <w:r w:rsidRPr="00F60059">
        <w:t>Britannique</w:t>
      </w:r>
      <w:proofErr w:type="spellEnd"/>
      <w:r w:rsidRPr="00F60059">
        <w:t xml:space="preserve">, </w:t>
      </w:r>
    </w:p>
    <w:p w:rsidR="00740F9A" w:rsidRPr="00F60059" w:rsidRDefault="0031185A">
      <w:pPr>
        <w:pStyle w:val="SCCLsocParty"/>
      </w:pPr>
      <w:r w:rsidRPr="00F60059">
        <w:t>Coalition of BC Business</w:t>
      </w:r>
      <w:r w:rsidR="004D118D" w:rsidRPr="00F60059">
        <w:t>es</w:t>
      </w:r>
      <w:r w:rsidRPr="00F60059">
        <w:t xml:space="preserve">, </w:t>
      </w:r>
    </w:p>
    <w:p w:rsidR="00740F9A" w:rsidRPr="00F60059" w:rsidRDefault="0031185A">
      <w:pPr>
        <w:pStyle w:val="SCCLsocParty"/>
      </w:pPr>
      <w:r w:rsidRPr="00F60059">
        <w:t xml:space="preserve">Commission canadienne des droits de la personne, </w:t>
      </w:r>
    </w:p>
    <w:p w:rsidR="00740F9A" w:rsidRPr="00F60059" w:rsidRDefault="0031185A">
      <w:pPr>
        <w:pStyle w:val="SCCLsocParty"/>
        <w:rPr>
          <w:lang w:val="en-CA"/>
        </w:rPr>
      </w:pPr>
      <w:r w:rsidRPr="00F60059">
        <w:rPr>
          <w:lang w:val="en-CA"/>
        </w:rPr>
        <w:t>Alberta Human Rights Commission</w:t>
      </w:r>
      <w:r w:rsidR="004D118D" w:rsidRPr="00F60059">
        <w:rPr>
          <w:lang w:val="en-CA"/>
        </w:rPr>
        <w:t xml:space="preserve"> </w:t>
      </w:r>
      <w:proofErr w:type="gramStart"/>
      <w:r w:rsidR="004D118D" w:rsidRPr="00F60059">
        <w:rPr>
          <w:lang w:val="en-CA"/>
        </w:rPr>
        <w:t>et</w:t>
      </w:r>
      <w:proofErr w:type="gramEnd"/>
      <w:r w:rsidRPr="00F60059">
        <w:rPr>
          <w:lang w:val="en-CA"/>
        </w:rPr>
        <w:t xml:space="preserve"> </w:t>
      </w:r>
    </w:p>
    <w:p w:rsidR="00740F9A" w:rsidRPr="00F60059" w:rsidRDefault="0031185A" w:rsidP="00BE155A">
      <w:pPr>
        <w:pStyle w:val="SCCLsocParty"/>
        <w:tabs>
          <w:tab w:val="right" w:pos="8280"/>
        </w:tabs>
        <w:spacing w:after="720"/>
        <w:rPr>
          <w:lang w:val="en-US"/>
        </w:rPr>
      </w:pPr>
      <w:r w:rsidRPr="00F60059">
        <w:rPr>
          <w:lang w:val="en-CA"/>
        </w:rPr>
        <w:t>Vancouver Area Human Rights Coalition Society</w:t>
      </w:r>
      <w:r w:rsidR="00BE155A" w:rsidRPr="00F60059">
        <w:rPr>
          <w:lang w:val="en-CA"/>
        </w:rPr>
        <w:tab/>
      </w:r>
      <w:proofErr w:type="spellStart"/>
      <w:r w:rsidRPr="00F60059">
        <w:rPr>
          <w:b w:val="0"/>
          <w:i/>
          <w:lang w:val="en-US"/>
        </w:rPr>
        <w:t>Intervenants</w:t>
      </w:r>
      <w:proofErr w:type="spellEnd"/>
    </w:p>
    <w:p w:rsidR="00426659" w:rsidRPr="00F60059" w:rsidRDefault="0043088E" w:rsidP="00F71F12">
      <w:pPr>
        <w:spacing w:after="720"/>
        <w:jc w:val="both"/>
        <w:rPr>
          <w:b/>
        </w:rPr>
      </w:pPr>
      <w:r w:rsidRPr="00F60059">
        <w:rPr>
          <w:b/>
        </w:rPr>
        <w:t>Répertorié</w:t>
      </w:r>
      <w:r w:rsidR="001A7570" w:rsidRPr="00F60059">
        <w:rPr>
          <w:b/>
        </w:rPr>
        <w:t> :</w:t>
      </w:r>
      <w:r w:rsidR="00C67CA5" w:rsidRPr="00F60059">
        <w:rPr>
          <w:b/>
        </w:rPr>
        <w:t> </w:t>
      </w:r>
      <w:proofErr w:type="spellStart"/>
      <w:r w:rsidR="004D118D" w:rsidRPr="00F60059">
        <w:rPr>
          <w:b/>
        </w:rPr>
        <w:t>Colombie</w:t>
      </w:r>
      <w:r w:rsidR="001A7570" w:rsidRPr="00F60059">
        <w:rPr>
          <w:b/>
        </w:rPr>
        <w:noBreakHyphen/>
      </w:r>
      <w:r w:rsidR="004D118D" w:rsidRPr="00F60059">
        <w:rPr>
          <w:b/>
        </w:rPr>
        <w:t>Britannique</w:t>
      </w:r>
      <w:proofErr w:type="spellEnd"/>
      <w:r w:rsidR="004D118D" w:rsidRPr="00F60059">
        <w:rPr>
          <w:b/>
        </w:rPr>
        <w:t xml:space="preserve"> (</w:t>
      </w:r>
      <w:proofErr w:type="spellStart"/>
      <w:r w:rsidRPr="00F60059">
        <w:rPr>
          <w:b/>
        </w:rPr>
        <w:t>Workers</w:t>
      </w:r>
      <w:proofErr w:type="spellEnd"/>
      <w:r w:rsidR="004D118D" w:rsidRPr="00F60059">
        <w:rPr>
          <w:b/>
        </w:rPr>
        <w:t>’</w:t>
      </w:r>
      <w:r w:rsidRPr="00F60059">
        <w:rPr>
          <w:b/>
        </w:rPr>
        <w:t xml:space="preserve"> Compensation </w:t>
      </w:r>
      <w:proofErr w:type="spellStart"/>
      <w:r w:rsidRPr="00F60059">
        <w:rPr>
          <w:b/>
        </w:rPr>
        <w:t>Board</w:t>
      </w:r>
      <w:proofErr w:type="spellEnd"/>
      <w:r w:rsidR="004D118D" w:rsidRPr="00F60059">
        <w:rPr>
          <w:b/>
        </w:rPr>
        <w:t>)</w:t>
      </w:r>
      <w:r w:rsidR="00426659" w:rsidRPr="00F60059">
        <w:rPr>
          <w:b/>
        </w:rPr>
        <w:t xml:space="preserve"> </w:t>
      </w:r>
      <w:r w:rsidR="00645057" w:rsidRPr="00F60059">
        <w:rPr>
          <w:b/>
          <w:i/>
        </w:rPr>
        <w:t>c</w:t>
      </w:r>
      <w:r w:rsidR="00426659" w:rsidRPr="00F60059">
        <w:rPr>
          <w:b/>
          <w:i/>
        </w:rPr>
        <w:t>.</w:t>
      </w:r>
      <w:r w:rsidR="00426659" w:rsidRPr="00F60059">
        <w:rPr>
          <w:b/>
        </w:rPr>
        <w:t xml:space="preserve"> </w:t>
      </w:r>
      <w:proofErr w:type="spellStart"/>
      <w:r w:rsidRPr="00F60059">
        <w:rPr>
          <w:b/>
        </w:rPr>
        <w:t>Figliola</w:t>
      </w:r>
      <w:proofErr w:type="spellEnd"/>
    </w:p>
    <w:p w:rsidR="00426659" w:rsidRPr="00F60059" w:rsidRDefault="00C0663B" w:rsidP="00F71F12">
      <w:pPr>
        <w:pStyle w:val="SCCSystemYear"/>
        <w:spacing w:after="720"/>
        <w:jc w:val="both"/>
      </w:pPr>
      <w:r w:rsidRPr="00F60059">
        <w:t>2011</w:t>
      </w:r>
      <w:r w:rsidR="00EE0FAF" w:rsidRPr="00F60059">
        <w:t xml:space="preserve"> </w:t>
      </w:r>
      <w:r w:rsidR="00C71F58" w:rsidRPr="00F60059">
        <w:t>C</w:t>
      </w:r>
      <w:r w:rsidR="00426659" w:rsidRPr="00F60059">
        <w:t>SC </w:t>
      </w:r>
      <w:r w:rsidR="00FA7838" w:rsidRPr="00F60059">
        <w:t>52</w:t>
      </w:r>
    </w:p>
    <w:p w:rsidR="008322BD" w:rsidRPr="00F60059" w:rsidRDefault="009B57B3" w:rsidP="00F71F12">
      <w:pPr>
        <w:spacing w:after="720"/>
        <w:jc w:val="both"/>
      </w:pPr>
      <w:r w:rsidRPr="00F60059">
        <w:t>N</w:t>
      </w:r>
      <w:r w:rsidRPr="00F60059">
        <w:rPr>
          <w:vertAlign w:val="superscript"/>
        </w:rPr>
        <w:t>o</w:t>
      </w:r>
      <w:r w:rsidR="0043088E" w:rsidRPr="00F60059">
        <w:t xml:space="preserve"> du greffe</w:t>
      </w:r>
      <w:r w:rsidR="001A7570" w:rsidRPr="00F60059">
        <w:t> :</w:t>
      </w:r>
      <w:r w:rsidR="00C67CA5" w:rsidRPr="00F60059">
        <w:t> </w:t>
      </w:r>
      <w:r w:rsidRPr="00F60059">
        <w:t>33648.</w:t>
      </w:r>
    </w:p>
    <w:p w:rsidR="008322BD" w:rsidRPr="00F60059" w:rsidRDefault="00C0663B" w:rsidP="00F71F12">
      <w:pPr>
        <w:spacing w:after="720"/>
        <w:jc w:val="both"/>
      </w:pPr>
      <w:r w:rsidRPr="00F60059">
        <w:t>2011</w:t>
      </w:r>
      <w:r w:rsidR="001A7570" w:rsidRPr="00F60059">
        <w:t> : 16 </w:t>
      </w:r>
      <w:r w:rsidRPr="00F60059">
        <w:t>mars</w:t>
      </w:r>
      <w:r w:rsidR="001A7570" w:rsidRPr="00F60059">
        <w:t>; 2011 : 27 </w:t>
      </w:r>
      <w:r w:rsidR="00FA7838" w:rsidRPr="00F60059">
        <w:t>octobre</w:t>
      </w:r>
      <w:r w:rsidR="009B57B3" w:rsidRPr="00F60059">
        <w:t>.</w:t>
      </w:r>
    </w:p>
    <w:p w:rsidR="008322BD" w:rsidRPr="00F60059" w:rsidRDefault="009B57B3" w:rsidP="00F71F12">
      <w:pPr>
        <w:spacing w:after="720"/>
        <w:jc w:val="both"/>
      </w:pPr>
      <w:r w:rsidRPr="00F60059">
        <w:t>Pr</w:t>
      </w:r>
      <w:r w:rsidR="0043088E" w:rsidRPr="00F60059">
        <w:t>é</w:t>
      </w:r>
      <w:r w:rsidRPr="00F60059">
        <w:t>sent</w:t>
      </w:r>
      <w:r w:rsidR="008A6558" w:rsidRPr="00F60059">
        <w:t>s</w:t>
      </w:r>
      <w:r w:rsidR="001A7570" w:rsidRPr="00F60059">
        <w:t> :</w:t>
      </w:r>
      <w:r w:rsidR="00C67CA5" w:rsidRPr="00F60059">
        <w:t> </w:t>
      </w:r>
      <w:r w:rsidRPr="00F60059">
        <w:t xml:space="preserve">La juge en chef </w:t>
      </w:r>
      <w:proofErr w:type="spellStart"/>
      <w:r w:rsidRPr="00F60059">
        <w:t>McLachlin</w:t>
      </w:r>
      <w:proofErr w:type="spellEnd"/>
      <w:r w:rsidRPr="00F60059">
        <w:t xml:space="preserve"> et les juges </w:t>
      </w:r>
      <w:proofErr w:type="spellStart"/>
      <w:r w:rsidRPr="00F60059">
        <w:t>Binnie</w:t>
      </w:r>
      <w:proofErr w:type="spellEnd"/>
      <w:r w:rsidRPr="00F60059">
        <w:t xml:space="preserve">, </w:t>
      </w:r>
      <w:proofErr w:type="spellStart"/>
      <w:r w:rsidRPr="00F60059">
        <w:t>LeBel</w:t>
      </w:r>
      <w:proofErr w:type="spellEnd"/>
      <w:r w:rsidRPr="00F60059">
        <w:t xml:space="preserve">, Deschamps, Fish, Abella, Charron, </w:t>
      </w:r>
      <w:proofErr w:type="spellStart"/>
      <w:r w:rsidRPr="00F60059">
        <w:t>Rothstein</w:t>
      </w:r>
      <w:proofErr w:type="spellEnd"/>
      <w:r w:rsidRPr="00F60059">
        <w:t xml:space="preserve"> et Cromwell.</w:t>
      </w:r>
    </w:p>
    <w:p w:rsidR="008322BD" w:rsidRPr="00F60059" w:rsidRDefault="00AC7437" w:rsidP="00F71F12">
      <w:pPr>
        <w:pStyle w:val="SCCLowerCourtNameLowercase"/>
        <w:spacing w:after="720" w:line="240" w:lineRule="auto"/>
      </w:pPr>
      <w:r w:rsidRPr="00F60059">
        <w:lastRenderedPageBreak/>
        <w:t>e</w:t>
      </w:r>
      <w:r w:rsidR="00855307" w:rsidRPr="00F60059">
        <w:t>n</w:t>
      </w:r>
      <w:r w:rsidR="00224FC0" w:rsidRPr="00F60059">
        <w:t xml:space="preserve"> </w:t>
      </w:r>
      <w:r w:rsidR="00855307" w:rsidRPr="00F60059">
        <w:t>appel</w:t>
      </w:r>
      <w:r w:rsidR="00224FC0" w:rsidRPr="00F60059">
        <w:t xml:space="preserve"> </w:t>
      </w:r>
      <w:r w:rsidR="00855307" w:rsidRPr="00F60059">
        <w:t>de</w:t>
      </w:r>
      <w:r w:rsidR="0043088E" w:rsidRPr="00F60059">
        <w:t xml:space="preserve"> </w:t>
      </w:r>
      <w:r w:rsidR="00855307" w:rsidRPr="00F60059">
        <w:t>la</w:t>
      </w:r>
      <w:r w:rsidR="00224FC0" w:rsidRPr="00F60059">
        <w:t xml:space="preserve"> </w:t>
      </w:r>
      <w:r w:rsidR="009B57B3" w:rsidRPr="00F60059">
        <w:t xml:space="preserve">cour d’appel de la </w:t>
      </w:r>
      <w:proofErr w:type="spellStart"/>
      <w:r w:rsidR="009B57B3" w:rsidRPr="00F60059">
        <w:t>colombie</w:t>
      </w:r>
      <w:r w:rsidR="001A7570" w:rsidRPr="00F60059">
        <w:noBreakHyphen/>
      </w:r>
      <w:r w:rsidR="009B57B3" w:rsidRPr="00F60059">
        <w:t>britannique</w:t>
      </w:r>
      <w:proofErr w:type="spellEnd"/>
    </w:p>
    <w:p w:rsidR="00943AA5" w:rsidRPr="00F60059" w:rsidRDefault="00F71F12" w:rsidP="00FC1290">
      <w:pPr>
        <w:pStyle w:val="SCCNormalDoubleSpacing"/>
        <w:spacing w:after="480"/>
        <w:rPr>
          <w:i/>
          <w:szCs w:val="24"/>
        </w:rPr>
      </w:pPr>
      <w:r w:rsidRPr="00F60059">
        <w:rPr>
          <w:i/>
        </w:rPr>
        <w:tab/>
      </w:r>
      <w:r w:rsidR="00943AA5" w:rsidRPr="00F60059">
        <w:rPr>
          <w:i/>
        </w:rPr>
        <w:t xml:space="preserve">Droit </w:t>
      </w:r>
      <w:r w:rsidR="00943AA5" w:rsidRPr="00F60059">
        <w:rPr>
          <w:i/>
          <w:szCs w:val="24"/>
        </w:rPr>
        <w:t>administratif</w:t>
      </w:r>
      <w:r w:rsidR="00943AA5" w:rsidRPr="00F60059">
        <w:rPr>
          <w:i/>
          <w:iCs/>
          <w:szCs w:val="24"/>
        </w:rPr>
        <w:t xml:space="preserve"> — Contrôle judiciaire — Norme de contrôle —</w:t>
      </w:r>
      <w:r w:rsidR="00A72B14">
        <w:rPr>
          <w:i/>
          <w:iCs/>
          <w:szCs w:val="24"/>
        </w:rPr>
        <w:t xml:space="preserve"> </w:t>
      </w:r>
      <w:r w:rsidR="00943AA5" w:rsidRPr="00F60059">
        <w:rPr>
          <w:i/>
          <w:iCs/>
          <w:szCs w:val="24"/>
        </w:rPr>
        <w:t>Décision manifestement déraisonnable — Indemnisation des accidentés du travail en application d</w:t>
      </w:r>
      <w:r w:rsidR="00944CE7" w:rsidRPr="00F60059">
        <w:rPr>
          <w:i/>
          <w:iCs/>
          <w:szCs w:val="24"/>
        </w:rPr>
        <w:t>e la</w:t>
      </w:r>
      <w:r w:rsidR="00943AA5" w:rsidRPr="00F60059">
        <w:rPr>
          <w:i/>
          <w:iCs/>
          <w:szCs w:val="24"/>
        </w:rPr>
        <w:t xml:space="preserve"> politique de la </w:t>
      </w:r>
      <w:proofErr w:type="spellStart"/>
      <w:r w:rsidR="00943AA5" w:rsidRPr="00F60059">
        <w:rPr>
          <w:i/>
          <w:iCs/>
          <w:szCs w:val="24"/>
        </w:rPr>
        <w:t>Workers</w:t>
      </w:r>
      <w:proofErr w:type="spellEnd"/>
      <w:r w:rsidR="00943AA5" w:rsidRPr="00F60059">
        <w:rPr>
          <w:i/>
          <w:iCs/>
          <w:szCs w:val="24"/>
        </w:rPr>
        <w:t xml:space="preserve">’ Compensation </w:t>
      </w:r>
      <w:proofErr w:type="spellStart"/>
      <w:r w:rsidR="00943AA5" w:rsidRPr="00F60059">
        <w:rPr>
          <w:i/>
          <w:iCs/>
          <w:szCs w:val="24"/>
        </w:rPr>
        <w:t>Board</w:t>
      </w:r>
      <w:proofErr w:type="spellEnd"/>
      <w:r w:rsidR="00943AA5" w:rsidRPr="00F60059">
        <w:rPr>
          <w:i/>
          <w:iCs/>
          <w:szCs w:val="24"/>
        </w:rPr>
        <w:t xml:space="preserve"> de la </w:t>
      </w:r>
      <w:proofErr w:type="spellStart"/>
      <w:r w:rsidR="00943AA5" w:rsidRPr="00F60059">
        <w:rPr>
          <w:i/>
          <w:iCs/>
          <w:szCs w:val="24"/>
        </w:rPr>
        <w:t>Colombie</w:t>
      </w:r>
      <w:r w:rsidR="001A7570" w:rsidRPr="00F60059">
        <w:rPr>
          <w:i/>
          <w:iCs/>
          <w:szCs w:val="24"/>
        </w:rPr>
        <w:noBreakHyphen/>
      </w:r>
      <w:r w:rsidR="00943AA5" w:rsidRPr="00F60059">
        <w:rPr>
          <w:i/>
          <w:iCs/>
          <w:szCs w:val="24"/>
        </w:rPr>
        <w:t>Britannique</w:t>
      </w:r>
      <w:proofErr w:type="spellEnd"/>
      <w:r w:rsidR="00944CE7" w:rsidRPr="00F60059">
        <w:rPr>
          <w:i/>
          <w:iCs/>
          <w:szCs w:val="24"/>
        </w:rPr>
        <w:t xml:space="preserve"> relative aux douleurs chroniques</w:t>
      </w:r>
      <w:r w:rsidR="00943AA5" w:rsidRPr="00F60059">
        <w:rPr>
          <w:i/>
          <w:iCs/>
          <w:szCs w:val="24"/>
        </w:rPr>
        <w:t xml:space="preserve"> — Appel interjeté devant la Section de révision de la Commission au motif que la politique contrevient à l’</w:t>
      </w:r>
      <w:r w:rsidR="001A7570" w:rsidRPr="00F60059">
        <w:rPr>
          <w:i/>
          <w:iCs/>
          <w:szCs w:val="24"/>
        </w:rPr>
        <w:t>art. </w:t>
      </w:r>
      <w:r w:rsidR="00943AA5" w:rsidRPr="00F60059">
        <w:rPr>
          <w:i/>
          <w:iCs/>
          <w:szCs w:val="24"/>
        </w:rPr>
        <w:t xml:space="preserve">8 du </w:t>
      </w:r>
      <w:proofErr w:type="spellStart"/>
      <w:r w:rsidR="00943AA5" w:rsidRPr="00F60059">
        <w:rPr>
          <w:i/>
          <w:iCs/>
          <w:szCs w:val="24"/>
        </w:rPr>
        <w:t>Human</w:t>
      </w:r>
      <w:proofErr w:type="spellEnd"/>
      <w:r w:rsidR="00943AA5" w:rsidRPr="00F60059">
        <w:rPr>
          <w:i/>
          <w:iCs/>
          <w:szCs w:val="24"/>
        </w:rPr>
        <w:t xml:space="preserve"> </w:t>
      </w:r>
      <w:proofErr w:type="spellStart"/>
      <w:r w:rsidR="00943AA5" w:rsidRPr="00F60059">
        <w:rPr>
          <w:i/>
          <w:iCs/>
          <w:szCs w:val="24"/>
        </w:rPr>
        <w:t>Rights</w:t>
      </w:r>
      <w:proofErr w:type="spellEnd"/>
      <w:r w:rsidR="00943AA5" w:rsidRPr="00F60059">
        <w:rPr>
          <w:i/>
          <w:iCs/>
          <w:szCs w:val="24"/>
        </w:rPr>
        <w:t xml:space="preserve"> Code de la </w:t>
      </w:r>
      <w:proofErr w:type="spellStart"/>
      <w:r w:rsidR="00943AA5" w:rsidRPr="00F60059">
        <w:rPr>
          <w:i/>
          <w:iCs/>
          <w:szCs w:val="24"/>
        </w:rPr>
        <w:t>Colombie</w:t>
      </w:r>
      <w:r w:rsidR="001A7570" w:rsidRPr="00F60059">
        <w:rPr>
          <w:i/>
          <w:iCs/>
          <w:szCs w:val="24"/>
        </w:rPr>
        <w:noBreakHyphen/>
      </w:r>
      <w:r w:rsidR="00943AA5" w:rsidRPr="00F60059">
        <w:rPr>
          <w:i/>
          <w:iCs/>
          <w:szCs w:val="24"/>
        </w:rPr>
        <w:t>Britannique</w:t>
      </w:r>
      <w:proofErr w:type="spellEnd"/>
      <w:r w:rsidR="00943AA5" w:rsidRPr="00F60059">
        <w:rPr>
          <w:i/>
          <w:iCs/>
          <w:szCs w:val="24"/>
        </w:rPr>
        <w:t xml:space="preserve"> — La Commission ne conclut pas à une contravention au Code — </w:t>
      </w:r>
      <w:r w:rsidR="0068492D" w:rsidRPr="00F60059">
        <w:rPr>
          <w:i/>
          <w:iCs/>
          <w:szCs w:val="24"/>
        </w:rPr>
        <w:t xml:space="preserve">Travailleurs reprenant les mêmes arguments dans des </w:t>
      </w:r>
      <w:r w:rsidR="00943AA5" w:rsidRPr="00F60059">
        <w:rPr>
          <w:i/>
          <w:iCs/>
          <w:szCs w:val="24"/>
        </w:rPr>
        <w:t xml:space="preserve">plaintes </w:t>
      </w:r>
      <w:r w:rsidR="0068492D" w:rsidRPr="00F60059">
        <w:rPr>
          <w:i/>
          <w:iCs/>
          <w:szCs w:val="24"/>
        </w:rPr>
        <w:t xml:space="preserve">subséquentes </w:t>
      </w:r>
      <w:r w:rsidR="00943AA5" w:rsidRPr="00F60059">
        <w:rPr>
          <w:i/>
          <w:iCs/>
          <w:szCs w:val="24"/>
        </w:rPr>
        <w:t xml:space="preserve">auprès du </w:t>
      </w:r>
      <w:r w:rsidR="00F3227F" w:rsidRPr="00F60059">
        <w:rPr>
          <w:i/>
          <w:iCs/>
          <w:szCs w:val="24"/>
        </w:rPr>
        <w:t>t</w:t>
      </w:r>
      <w:r w:rsidR="00943AA5" w:rsidRPr="00F60059">
        <w:rPr>
          <w:i/>
          <w:iCs/>
          <w:szCs w:val="24"/>
        </w:rPr>
        <w:t>ribunal des droits de la personne</w:t>
      </w:r>
      <w:r w:rsidR="0068492D" w:rsidRPr="00F60059">
        <w:rPr>
          <w:i/>
          <w:iCs/>
          <w:szCs w:val="24"/>
        </w:rPr>
        <w:t xml:space="preserve"> </w:t>
      </w:r>
      <w:r w:rsidR="00AE2FF9" w:rsidRPr="00F60059">
        <w:rPr>
          <w:i/>
          <w:iCs/>
          <w:szCs w:val="24"/>
        </w:rPr>
        <w:t>— Le t</w:t>
      </w:r>
      <w:r w:rsidR="00943AA5" w:rsidRPr="00F60059">
        <w:rPr>
          <w:i/>
          <w:iCs/>
          <w:szCs w:val="24"/>
        </w:rPr>
        <w:t>ribunal estime qu’il s’agit d’une question qu’il peut à bon droit considérer — Quelle est la portée du pouvoir discrétionnair</w:t>
      </w:r>
      <w:r w:rsidR="0012175E" w:rsidRPr="00F60059">
        <w:rPr>
          <w:i/>
          <w:iCs/>
          <w:szCs w:val="24"/>
        </w:rPr>
        <w:t xml:space="preserve">e du </w:t>
      </w:r>
      <w:r w:rsidR="00AE2FF9" w:rsidRPr="00F60059">
        <w:rPr>
          <w:i/>
          <w:iCs/>
          <w:szCs w:val="24"/>
        </w:rPr>
        <w:t>t</w:t>
      </w:r>
      <w:r w:rsidR="0012175E" w:rsidRPr="00F60059">
        <w:rPr>
          <w:i/>
          <w:iCs/>
          <w:szCs w:val="24"/>
        </w:rPr>
        <w:t>ribunal de juger s’il a « </w:t>
      </w:r>
      <w:r w:rsidR="00943AA5" w:rsidRPr="00F60059">
        <w:rPr>
          <w:i/>
          <w:iCs/>
          <w:szCs w:val="24"/>
        </w:rPr>
        <w:t xml:space="preserve">été statué de façon appropriée sur le fond de la plainte » dans les cas où deux organismes ont compétence en matière de droits de la personne? — L’exercice par le </w:t>
      </w:r>
      <w:r w:rsidR="00AE2FF9" w:rsidRPr="00F60059">
        <w:rPr>
          <w:i/>
          <w:iCs/>
          <w:szCs w:val="24"/>
        </w:rPr>
        <w:t>t</w:t>
      </w:r>
      <w:r w:rsidR="00943AA5" w:rsidRPr="00F60059">
        <w:rPr>
          <w:i/>
          <w:iCs/>
          <w:szCs w:val="24"/>
        </w:rPr>
        <w:t xml:space="preserve">ribunal de son pouvoir discrétionnaire </w:t>
      </w:r>
      <w:proofErr w:type="spellStart"/>
      <w:r w:rsidR="00943AA5" w:rsidRPr="00F60059">
        <w:rPr>
          <w:i/>
          <w:iCs/>
          <w:szCs w:val="24"/>
        </w:rPr>
        <w:t>était</w:t>
      </w:r>
      <w:r w:rsidR="001A7570" w:rsidRPr="00F60059">
        <w:rPr>
          <w:i/>
          <w:iCs/>
          <w:szCs w:val="24"/>
        </w:rPr>
        <w:noBreakHyphen/>
      </w:r>
      <w:r w:rsidR="00943AA5" w:rsidRPr="00F60059">
        <w:rPr>
          <w:i/>
          <w:iCs/>
          <w:szCs w:val="24"/>
        </w:rPr>
        <w:t>il</w:t>
      </w:r>
      <w:proofErr w:type="spellEnd"/>
      <w:r w:rsidR="00943AA5" w:rsidRPr="00F60059">
        <w:rPr>
          <w:i/>
          <w:iCs/>
          <w:szCs w:val="24"/>
        </w:rPr>
        <w:t xml:space="preserve"> manifestement déraisonnable? — </w:t>
      </w:r>
      <w:proofErr w:type="spellStart"/>
      <w:r w:rsidR="00943AA5" w:rsidRPr="00F60059">
        <w:rPr>
          <w:i/>
          <w:szCs w:val="24"/>
        </w:rPr>
        <w:t>Human</w:t>
      </w:r>
      <w:proofErr w:type="spellEnd"/>
      <w:r w:rsidR="00943AA5" w:rsidRPr="00F60059">
        <w:rPr>
          <w:i/>
          <w:szCs w:val="24"/>
        </w:rPr>
        <w:t xml:space="preserve"> </w:t>
      </w:r>
      <w:proofErr w:type="spellStart"/>
      <w:r w:rsidR="00943AA5" w:rsidRPr="00F60059">
        <w:rPr>
          <w:i/>
          <w:szCs w:val="24"/>
        </w:rPr>
        <w:t>Rights</w:t>
      </w:r>
      <w:proofErr w:type="spellEnd"/>
      <w:r w:rsidR="00943AA5" w:rsidRPr="00F60059">
        <w:rPr>
          <w:i/>
          <w:szCs w:val="24"/>
        </w:rPr>
        <w:t xml:space="preserve"> Code, R.S.B.C. 1996, </w:t>
      </w:r>
      <w:r w:rsidR="001A7570" w:rsidRPr="00F60059">
        <w:rPr>
          <w:i/>
          <w:szCs w:val="24"/>
        </w:rPr>
        <w:t>ch. </w:t>
      </w:r>
      <w:r w:rsidR="00943AA5" w:rsidRPr="00F60059">
        <w:rPr>
          <w:i/>
          <w:szCs w:val="24"/>
        </w:rPr>
        <w:t xml:space="preserve">210, </w:t>
      </w:r>
      <w:r w:rsidR="001A7570" w:rsidRPr="00F60059">
        <w:rPr>
          <w:i/>
          <w:szCs w:val="24"/>
        </w:rPr>
        <w:t>art. </w:t>
      </w:r>
      <w:r w:rsidR="00943AA5" w:rsidRPr="00F60059">
        <w:rPr>
          <w:i/>
          <w:szCs w:val="24"/>
        </w:rPr>
        <w:t>8</w:t>
      </w:r>
      <w:r w:rsidR="000C0DFE">
        <w:rPr>
          <w:i/>
          <w:szCs w:val="24"/>
        </w:rPr>
        <w:t>,</w:t>
      </w:r>
      <w:r w:rsidR="00943AA5" w:rsidRPr="00F60059">
        <w:rPr>
          <w:i/>
          <w:szCs w:val="24"/>
        </w:rPr>
        <w:t xml:space="preserve"> 27(1) </w:t>
      </w:r>
      <w:r w:rsidR="00943AA5" w:rsidRPr="00F60059">
        <w:rPr>
          <w:i/>
          <w:iCs/>
          <w:szCs w:val="24"/>
        </w:rPr>
        <w:t xml:space="preserve">— </w:t>
      </w:r>
      <w:r w:rsidR="00943AA5" w:rsidRPr="00F60059">
        <w:rPr>
          <w:i/>
          <w:szCs w:val="24"/>
        </w:rPr>
        <w:t xml:space="preserve">Administrative </w:t>
      </w:r>
      <w:proofErr w:type="spellStart"/>
      <w:r w:rsidR="00943AA5" w:rsidRPr="00F60059">
        <w:rPr>
          <w:i/>
          <w:szCs w:val="24"/>
        </w:rPr>
        <w:t>Tribunals</w:t>
      </w:r>
      <w:proofErr w:type="spellEnd"/>
      <w:r w:rsidR="00943AA5" w:rsidRPr="00F60059">
        <w:rPr>
          <w:i/>
          <w:szCs w:val="24"/>
        </w:rPr>
        <w:t xml:space="preserve"> </w:t>
      </w:r>
      <w:proofErr w:type="spellStart"/>
      <w:r w:rsidR="00943AA5" w:rsidRPr="00F60059">
        <w:rPr>
          <w:i/>
          <w:szCs w:val="24"/>
        </w:rPr>
        <w:t>Act</w:t>
      </w:r>
      <w:proofErr w:type="spellEnd"/>
      <w:r w:rsidR="00943AA5" w:rsidRPr="00F60059">
        <w:rPr>
          <w:i/>
          <w:szCs w:val="24"/>
        </w:rPr>
        <w:t xml:space="preserve">, S.B.C. 2004, </w:t>
      </w:r>
      <w:r w:rsidR="001A7570" w:rsidRPr="00F60059">
        <w:rPr>
          <w:i/>
          <w:szCs w:val="24"/>
        </w:rPr>
        <w:t>ch. </w:t>
      </w:r>
      <w:r w:rsidR="00943AA5" w:rsidRPr="00F60059">
        <w:rPr>
          <w:i/>
          <w:szCs w:val="24"/>
        </w:rPr>
        <w:t xml:space="preserve">45, </w:t>
      </w:r>
      <w:r w:rsidR="001A7570" w:rsidRPr="00F60059">
        <w:rPr>
          <w:i/>
          <w:szCs w:val="24"/>
        </w:rPr>
        <w:t>art. </w:t>
      </w:r>
      <w:r w:rsidR="00943AA5" w:rsidRPr="00F60059">
        <w:rPr>
          <w:i/>
          <w:szCs w:val="24"/>
        </w:rPr>
        <w:t>59.</w:t>
      </w:r>
    </w:p>
    <w:p w:rsidR="00943AA5" w:rsidRPr="00F60059" w:rsidRDefault="001A7570" w:rsidP="00FC1290">
      <w:pPr>
        <w:pStyle w:val="SCCNormalDoubleSpacing"/>
        <w:spacing w:after="480"/>
        <w:rPr>
          <w:b/>
        </w:rPr>
      </w:pPr>
      <w:r w:rsidRPr="00F60059">
        <w:tab/>
      </w:r>
      <w:r w:rsidR="00943AA5" w:rsidRPr="00F60059">
        <w:rPr>
          <w:szCs w:val="24"/>
        </w:rPr>
        <w:t>Les</w:t>
      </w:r>
      <w:r w:rsidR="00943AA5" w:rsidRPr="00F60059">
        <w:t xml:space="preserve"> plaignants, des travailleurs, so</w:t>
      </w:r>
      <w:r w:rsidR="00997F6F" w:rsidRPr="00F60059">
        <w:t>uffr</w:t>
      </w:r>
      <w:r w:rsidR="00944CE7" w:rsidRPr="00F60059">
        <w:t>ai</w:t>
      </w:r>
      <w:r w:rsidR="00997F6F" w:rsidRPr="00F60059">
        <w:t>e</w:t>
      </w:r>
      <w:r w:rsidR="00943AA5" w:rsidRPr="00F60059">
        <w:t xml:space="preserve">nt de douleurs chroniques et ont soumis </w:t>
      </w:r>
      <w:r w:rsidR="00997F6F" w:rsidRPr="00F60059">
        <w:t xml:space="preserve">une demande d’indemnisation </w:t>
      </w:r>
      <w:r w:rsidR="00943AA5" w:rsidRPr="00F60059">
        <w:t xml:space="preserve">à la </w:t>
      </w:r>
      <w:proofErr w:type="spellStart"/>
      <w:r w:rsidR="00943AA5" w:rsidRPr="00F60059">
        <w:t>Workers</w:t>
      </w:r>
      <w:proofErr w:type="spellEnd"/>
      <w:r w:rsidR="00943AA5" w:rsidRPr="00F60059">
        <w:t xml:space="preserve">’ Compensation </w:t>
      </w:r>
      <w:proofErr w:type="spellStart"/>
      <w:r w:rsidR="00943AA5" w:rsidRPr="00F60059">
        <w:t>Board</w:t>
      </w:r>
      <w:proofErr w:type="spellEnd"/>
      <w:r w:rsidR="00943AA5" w:rsidRPr="00F60059">
        <w:t xml:space="preserve"> de la </w:t>
      </w:r>
      <w:proofErr w:type="spellStart"/>
      <w:r w:rsidR="00943AA5" w:rsidRPr="00F60059">
        <w:t>Colombie</w:t>
      </w:r>
      <w:r w:rsidRPr="00F60059">
        <w:noBreakHyphen/>
      </w:r>
      <w:r w:rsidR="00943AA5" w:rsidRPr="00F60059">
        <w:t>Britannique</w:t>
      </w:r>
      <w:proofErr w:type="spellEnd"/>
      <w:r w:rsidR="00943AA5" w:rsidRPr="00F60059">
        <w:t xml:space="preserve"> (la « Commission »). </w:t>
      </w:r>
      <w:r w:rsidR="00FC1290" w:rsidRPr="00F60059">
        <w:t xml:space="preserve"> </w:t>
      </w:r>
      <w:r w:rsidR="00943AA5" w:rsidRPr="00F60059">
        <w:t>En application de la politique de la Commission</w:t>
      </w:r>
      <w:r w:rsidR="002B4142" w:rsidRPr="00F60059">
        <w:t xml:space="preserve"> relative aux douleurs chroniques</w:t>
      </w:r>
      <w:r w:rsidR="00943AA5" w:rsidRPr="00F60059">
        <w:t>, les plaignants ont touché</w:t>
      </w:r>
      <w:r w:rsidR="002B4142" w:rsidRPr="00F60059">
        <w:t xml:space="preserve"> </w:t>
      </w:r>
      <w:r w:rsidR="00943AA5" w:rsidRPr="00F60059">
        <w:t>une indemnité d’un montant fixe.</w:t>
      </w:r>
      <w:r w:rsidR="00997F6F" w:rsidRPr="00F60059">
        <w:t xml:space="preserve">  </w:t>
      </w:r>
      <w:r w:rsidR="00943AA5" w:rsidRPr="00F60059">
        <w:t xml:space="preserve">Ils ont interjeté appel devant la </w:t>
      </w:r>
      <w:r w:rsidR="00997F6F" w:rsidRPr="00F60059">
        <w:t xml:space="preserve">Section de révision de </w:t>
      </w:r>
      <w:r w:rsidR="00997F6F" w:rsidRPr="00F60059">
        <w:lastRenderedPageBreak/>
        <w:t>la Commission</w:t>
      </w:r>
      <w:r w:rsidR="00943AA5" w:rsidRPr="00F60059">
        <w:t xml:space="preserve">, soutenant que la politique de l’indemnité fixe pour les douleurs chroniques était manifestement déraisonnable, qu’elle était inconstitutionnelle et qu’elle constituait de la discrimination fondée sur la déficience </w:t>
      </w:r>
      <w:r w:rsidR="00997F6F" w:rsidRPr="00F60059">
        <w:t xml:space="preserve">interdite à </w:t>
      </w:r>
      <w:r w:rsidR="00943AA5" w:rsidRPr="00F60059">
        <w:t>l’</w:t>
      </w:r>
      <w:r w:rsidRPr="00F60059">
        <w:t>art. </w:t>
      </w:r>
      <w:r w:rsidR="00943AA5" w:rsidRPr="00F60059">
        <w:t xml:space="preserve">8 du </w:t>
      </w:r>
      <w:proofErr w:type="spellStart"/>
      <w:r w:rsidR="00943AA5" w:rsidRPr="00F60059">
        <w:rPr>
          <w:i/>
          <w:iCs/>
        </w:rPr>
        <w:t>Human</w:t>
      </w:r>
      <w:proofErr w:type="spellEnd"/>
      <w:r w:rsidR="00943AA5" w:rsidRPr="00F60059">
        <w:rPr>
          <w:i/>
          <w:iCs/>
        </w:rPr>
        <w:t xml:space="preserve"> </w:t>
      </w:r>
      <w:proofErr w:type="spellStart"/>
      <w:r w:rsidR="00943AA5" w:rsidRPr="00F60059">
        <w:rPr>
          <w:i/>
          <w:iCs/>
        </w:rPr>
        <w:t>Rights</w:t>
      </w:r>
      <w:proofErr w:type="spellEnd"/>
      <w:r w:rsidR="00943AA5" w:rsidRPr="00F60059">
        <w:rPr>
          <w:i/>
          <w:iCs/>
        </w:rPr>
        <w:t xml:space="preserve"> Code </w:t>
      </w:r>
      <w:r w:rsidR="00943AA5" w:rsidRPr="00F60059">
        <w:rPr>
          <w:iCs/>
        </w:rPr>
        <w:t xml:space="preserve">de la </w:t>
      </w:r>
      <w:proofErr w:type="spellStart"/>
      <w:r w:rsidR="00943AA5" w:rsidRPr="00F60059">
        <w:rPr>
          <w:iCs/>
        </w:rPr>
        <w:t>Colombie</w:t>
      </w:r>
      <w:r w:rsidRPr="00F60059">
        <w:rPr>
          <w:iCs/>
        </w:rPr>
        <w:noBreakHyphen/>
      </w:r>
      <w:r w:rsidR="002A18F2" w:rsidRPr="00F60059">
        <w:rPr>
          <w:iCs/>
        </w:rPr>
        <w:t>Britannique</w:t>
      </w:r>
      <w:proofErr w:type="spellEnd"/>
      <w:r w:rsidR="002A18F2" w:rsidRPr="00F60059">
        <w:rPr>
          <w:iCs/>
        </w:rPr>
        <w:t xml:space="preserve"> (</w:t>
      </w:r>
      <w:r w:rsidR="00943AA5" w:rsidRPr="00F60059">
        <w:rPr>
          <w:iCs/>
        </w:rPr>
        <w:t>« </w:t>
      </w:r>
      <w:r w:rsidR="00943AA5" w:rsidRPr="00F60059">
        <w:rPr>
          <w:i/>
          <w:iCs/>
        </w:rPr>
        <w:t>Code</w:t>
      </w:r>
      <w:r w:rsidR="00943AA5" w:rsidRPr="00F60059">
        <w:rPr>
          <w:iCs/>
        </w:rPr>
        <w:t xml:space="preserve"> »).  </w:t>
      </w:r>
      <w:r w:rsidR="00943AA5" w:rsidRPr="00F60059">
        <w:t xml:space="preserve">L’agent de révision, s’estimant compétent pour entendre la plainte fondée sur le </w:t>
      </w:r>
      <w:r w:rsidR="00943AA5" w:rsidRPr="00F60059">
        <w:rPr>
          <w:i/>
          <w:iCs/>
        </w:rPr>
        <w:t>Code</w:t>
      </w:r>
      <w:r w:rsidR="00943AA5" w:rsidRPr="00F60059">
        <w:rPr>
          <w:iCs/>
        </w:rPr>
        <w:t>,</w:t>
      </w:r>
      <w:r w:rsidR="00943AA5" w:rsidRPr="00F60059">
        <w:t xml:space="preserve"> a conclu que la politique de la Commission relative à la douleur chronique n’enfreignait pas l’</w:t>
      </w:r>
      <w:r w:rsidRPr="00F60059">
        <w:t>art. </w:t>
      </w:r>
      <w:r w:rsidR="00943AA5" w:rsidRPr="00F60059">
        <w:t xml:space="preserve">8 du </w:t>
      </w:r>
      <w:r w:rsidR="00943AA5" w:rsidRPr="00F60059">
        <w:rPr>
          <w:i/>
        </w:rPr>
        <w:t>Code</w:t>
      </w:r>
      <w:r w:rsidR="00997F6F" w:rsidRPr="00F60059">
        <w:t xml:space="preserve"> et </w:t>
      </w:r>
      <w:r w:rsidR="00943AA5" w:rsidRPr="00F60059">
        <w:t>n’était donc pas discriminatoire</w:t>
      </w:r>
      <w:r w:rsidR="00943AA5" w:rsidRPr="00F60059">
        <w:rPr>
          <w:i/>
        </w:rPr>
        <w:t xml:space="preserve">.  </w:t>
      </w:r>
    </w:p>
    <w:p w:rsidR="00943AA5" w:rsidRPr="00F60059" w:rsidRDefault="001A7570" w:rsidP="00FC1290">
      <w:pPr>
        <w:pStyle w:val="SCCNormalDoubleSpacing"/>
        <w:spacing w:after="480"/>
        <w:rPr>
          <w:szCs w:val="24"/>
        </w:rPr>
      </w:pPr>
      <w:r w:rsidRPr="00F60059">
        <w:rPr>
          <w:szCs w:val="24"/>
        </w:rPr>
        <w:tab/>
      </w:r>
      <w:r w:rsidR="00943AA5" w:rsidRPr="00F60059">
        <w:t xml:space="preserve">Les plaignants ont porté cette décision en appel devant le </w:t>
      </w:r>
      <w:proofErr w:type="spellStart"/>
      <w:r w:rsidR="00943AA5" w:rsidRPr="00F60059">
        <w:rPr>
          <w:szCs w:val="24"/>
        </w:rPr>
        <w:t>Workers</w:t>
      </w:r>
      <w:proofErr w:type="spellEnd"/>
      <w:r w:rsidR="00943AA5" w:rsidRPr="00F60059">
        <w:rPr>
          <w:szCs w:val="24"/>
        </w:rPr>
        <w:t xml:space="preserve">’ Compensation </w:t>
      </w:r>
      <w:proofErr w:type="spellStart"/>
      <w:r w:rsidR="00943AA5" w:rsidRPr="00F60059">
        <w:rPr>
          <w:szCs w:val="24"/>
        </w:rPr>
        <w:t>Appeal</w:t>
      </w:r>
      <w:proofErr w:type="spellEnd"/>
      <w:r w:rsidR="00943AA5" w:rsidRPr="00F60059">
        <w:rPr>
          <w:szCs w:val="24"/>
        </w:rPr>
        <w:t xml:space="preserve"> Tribunal (« WCAT »).  </w:t>
      </w:r>
      <w:r w:rsidR="00943AA5" w:rsidRPr="00F60059">
        <w:t xml:space="preserve">Avant l’instruction de l’appel, </w:t>
      </w:r>
      <w:r w:rsidR="000148B3" w:rsidRPr="00F60059">
        <w:t>une</w:t>
      </w:r>
      <w:r w:rsidR="00943AA5" w:rsidRPr="00F60059">
        <w:t xml:space="preserve"> </w:t>
      </w:r>
      <w:r w:rsidR="000148B3" w:rsidRPr="00F60059">
        <w:t xml:space="preserve">modification </w:t>
      </w:r>
      <w:r w:rsidR="00943AA5" w:rsidRPr="00F60059">
        <w:t>législati</w:t>
      </w:r>
      <w:r w:rsidR="000148B3" w:rsidRPr="00F60059">
        <w:t>ve</w:t>
      </w:r>
      <w:r w:rsidR="00943AA5" w:rsidRPr="00F60059">
        <w:t xml:space="preserve"> a </w:t>
      </w:r>
      <w:r w:rsidR="000148B3" w:rsidRPr="00F60059">
        <w:t xml:space="preserve">retiré au </w:t>
      </w:r>
      <w:r w:rsidR="000148B3" w:rsidRPr="00F60059">
        <w:rPr>
          <w:szCs w:val="24"/>
        </w:rPr>
        <w:t xml:space="preserve">WCAT sa </w:t>
      </w:r>
      <w:r w:rsidR="00943AA5" w:rsidRPr="00F60059">
        <w:rPr>
          <w:szCs w:val="24"/>
        </w:rPr>
        <w:t xml:space="preserve">compétence en matière d’application du </w:t>
      </w:r>
      <w:r w:rsidR="00943AA5" w:rsidRPr="00F60059">
        <w:rPr>
          <w:i/>
          <w:szCs w:val="24"/>
        </w:rPr>
        <w:t>Code</w:t>
      </w:r>
      <w:r w:rsidR="00943AA5" w:rsidRPr="00F60059">
        <w:rPr>
          <w:szCs w:val="24"/>
        </w:rPr>
        <w:t xml:space="preserve">. </w:t>
      </w:r>
      <w:r w:rsidR="000148B3" w:rsidRPr="00F60059">
        <w:rPr>
          <w:szCs w:val="24"/>
        </w:rPr>
        <w:t xml:space="preserve"> Du fait de cette</w:t>
      </w:r>
      <w:r w:rsidR="00943AA5" w:rsidRPr="00F60059">
        <w:t xml:space="preserve"> modification, </w:t>
      </w:r>
      <w:r w:rsidR="000148B3" w:rsidRPr="00F60059">
        <w:t xml:space="preserve">le WCAT ne pouvait plus entendre </w:t>
      </w:r>
      <w:r w:rsidR="00943AA5" w:rsidRPr="00F60059">
        <w:t xml:space="preserve">l’appel </w:t>
      </w:r>
      <w:r w:rsidR="000148B3" w:rsidRPr="00F60059">
        <w:t>d</w:t>
      </w:r>
      <w:r w:rsidR="00943AA5" w:rsidRPr="00F60059">
        <w:t xml:space="preserve">es plaignants </w:t>
      </w:r>
      <w:r w:rsidR="000148B3" w:rsidRPr="00F60059">
        <w:t xml:space="preserve">à l’encontre </w:t>
      </w:r>
      <w:r w:rsidR="00943AA5" w:rsidRPr="00F60059">
        <w:t xml:space="preserve">des conclusions de l’agent de révision relatives aux droits de la personne, mais il était toujours loisible </w:t>
      </w:r>
      <w:r w:rsidR="000148B3" w:rsidRPr="00F60059">
        <w:t xml:space="preserve">aux plaignants </w:t>
      </w:r>
      <w:r w:rsidR="00943AA5" w:rsidRPr="00F60059">
        <w:t>de demander un contrôle judiciaire.</w:t>
      </w:r>
      <w:r w:rsidR="00943AA5" w:rsidRPr="00F60059">
        <w:rPr>
          <w:szCs w:val="24"/>
        </w:rPr>
        <w:t xml:space="preserve">  </w:t>
      </w:r>
      <w:r w:rsidR="000148B3" w:rsidRPr="00F60059">
        <w:rPr>
          <w:szCs w:val="24"/>
        </w:rPr>
        <w:t>Ces derniers ont p</w:t>
      </w:r>
      <w:r w:rsidR="00943AA5" w:rsidRPr="00F60059">
        <w:t xml:space="preserve">lutôt déposé devant le </w:t>
      </w:r>
      <w:r w:rsidR="007E5799" w:rsidRPr="00F60059">
        <w:t>t</w:t>
      </w:r>
      <w:r w:rsidR="00943AA5" w:rsidRPr="00F60059">
        <w:t>ribuna</w:t>
      </w:r>
      <w:r w:rsidR="002A18F2" w:rsidRPr="00F60059">
        <w:t>l des droits de la personne (</w:t>
      </w:r>
      <w:r w:rsidR="00943AA5" w:rsidRPr="00F60059">
        <w:t>« Tribunal ») de nouvelles plaintes</w:t>
      </w:r>
      <w:r w:rsidR="000148B3" w:rsidRPr="00F60059">
        <w:t>,</w:t>
      </w:r>
      <w:r w:rsidR="00943AA5" w:rsidRPr="00F60059">
        <w:t xml:space="preserve"> </w:t>
      </w:r>
      <w:r w:rsidR="000148B3" w:rsidRPr="00F60059">
        <w:t>reprena</w:t>
      </w:r>
      <w:r w:rsidR="00943AA5" w:rsidRPr="00F60059">
        <w:t xml:space="preserve">nt </w:t>
      </w:r>
      <w:r w:rsidR="000148B3" w:rsidRPr="00F60059">
        <w:t xml:space="preserve">au sujet de la politique de la Commission en matière de douleur chronique </w:t>
      </w:r>
      <w:r w:rsidR="00943AA5" w:rsidRPr="00F60059">
        <w:t>l</w:t>
      </w:r>
      <w:r w:rsidR="000148B3" w:rsidRPr="00F60059">
        <w:t xml:space="preserve">es mêmes </w:t>
      </w:r>
      <w:r w:rsidR="00943AA5" w:rsidRPr="00F60059">
        <w:t>argument</w:t>
      </w:r>
      <w:r w:rsidR="000148B3" w:rsidRPr="00F60059">
        <w:t xml:space="preserve">s fondés sur l’art. 8 </w:t>
      </w:r>
      <w:r w:rsidR="002C0FCE" w:rsidRPr="00F60059">
        <w:t xml:space="preserve">du </w:t>
      </w:r>
      <w:r w:rsidR="002C0FCE" w:rsidRPr="00F60059">
        <w:rPr>
          <w:i/>
        </w:rPr>
        <w:t>Code</w:t>
      </w:r>
      <w:r w:rsidR="002C0FCE" w:rsidRPr="00F60059">
        <w:t xml:space="preserve"> </w:t>
      </w:r>
      <w:r w:rsidR="000148B3" w:rsidRPr="00F60059">
        <w:t>que ceux</w:t>
      </w:r>
      <w:r w:rsidR="00943AA5" w:rsidRPr="00F60059">
        <w:t xml:space="preserve"> qu’ils avaient soumis à la Section de révision</w:t>
      </w:r>
      <w:r w:rsidR="000148B3" w:rsidRPr="00F60059">
        <w:t>.</w:t>
      </w:r>
      <w:r w:rsidR="002C0FCE" w:rsidRPr="00F60059">
        <w:t xml:space="preserve"> </w:t>
      </w:r>
    </w:p>
    <w:p w:rsidR="00943AA5" w:rsidRPr="00F60059" w:rsidRDefault="001A7570" w:rsidP="00FC1290">
      <w:pPr>
        <w:pStyle w:val="SCCNormalDoubleSpacing"/>
        <w:spacing w:after="480"/>
        <w:rPr>
          <w:szCs w:val="24"/>
        </w:rPr>
      </w:pPr>
      <w:r w:rsidRPr="00F60059">
        <w:rPr>
          <w:szCs w:val="24"/>
        </w:rPr>
        <w:tab/>
      </w:r>
      <w:r w:rsidR="00943AA5" w:rsidRPr="00F60059">
        <w:t>La Commission a présenté au Tribunal une requête pour rejet des nouvelles plaintes, soutena</w:t>
      </w:r>
      <w:r w:rsidR="002C0FCE" w:rsidRPr="00F60059">
        <w:t>n</w:t>
      </w:r>
      <w:r w:rsidR="00943AA5" w:rsidRPr="00F60059">
        <w:t xml:space="preserve">t, d’une part, que le Tribunal n’avait pas compétence </w:t>
      </w:r>
      <w:r w:rsidR="002C0FCE" w:rsidRPr="00F60059">
        <w:t>aux termes de l’al. </w:t>
      </w:r>
      <w:r w:rsidR="00943AA5" w:rsidRPr="00F60059">
        <w:t>27(1)</w:t>
      </w:r>
      <w:r w:rsidR="00943AA5" w:rsidRPr="00F60059">
        <w:rPr>
          <w:iCs/>
        </w:rPr>
        <w:t>a</w:t>
      </w:r>
      <w:r w:rsidR="00943AA5" w:rsidRPr="00F60059">
        <w:t xml:space="preserve">) du </w:t>
      </w:r>
      <w:r w:rsidR="00943AA5" w:rsidRPr="00F60059">
        <w:rPr>
          <w:i/>
        </w:rPr>
        <w:t>Code</w:t>
      </w:r>
      <w:r w:rsidR="00943AA5" w:rsidRPr="00F60059">
        <w:t xml:space="preserve"> et, d’autre part, que la Section de révision avait déjà « statué de façon appropriée » sur le fond de la plainte </w:t>
      </w:r>
      <w:r w:rsidR="002C0FCE" w:rsidRPr="00F60059">
        <w:t>suivant l’al. </w:t>
      </w:r>
      <w:r w:rsidR="00943AA5" w:rsidRPr="00F60059">
        <w:t>27(1)</w:t>
      </w:r>
      <w:r w:rsidR="00943AA5" w:rsidRPr="00F60059">
        <w:rPr>
          <w:iCs/>
        </w:rPr>
        <w:t>f</w:t>
      </w:r>
      <w:r w:rsidR="00943AA5" w:rsidRPr="00F60059">
        <w:t xml:space="preserve">) du </w:t>
      </w:r>
      <w:r w:rsidR="00943AA5" w:rsidRPr="00F60059">
        <w:rPr>
          <w:i/>
        </w:rPr>
        <w:t>Code</w:t>
      </w:r>
      <w:r w:rsidR="00943AA5" w:rsidRPr="00F60059">
        <w:t xml:space="preserve">.  </w:t>
      </w:r>
      <w:r w:rsidR="00943AA5" w:rsidRPr="00F60059">
        <w:lastRenderedPageBreak/>
        <w:t>Le Tribunal a rejeté les deux arguments, estimant que</w:t>
      </w:r>
      <w:r w:rsidR="00943AA5" w:rsidRPr="00F60059">
        <w:rPr>
          <w:szCs w:val="24"/>
        </w:rPr>
        <w:t xml:space="preserve"> l</w:t>
      </w:r>
      <w:r w:rsidR="00943AA5" w:rsidRPr="00F60059">
        <w:t xml:space="preserve">a question soulevée était une question que le Tribunal pouvait à bon droit considérer et qu’il convenait que les parties puissent bénéficier d’une </w:t>
      </w:r>
      <w:r w:rsidR="002C0FCE" w:rsidRPr="00F60059">
        <w:t>audience</w:t>
      </w:r>
      <w:r w:rsidR="00943AA5" w:rsidRPr="00F60059">
        <w:t xml:space="preserve"> en bonne et due forme par le Tribun</w:t>
      </w:r>
      <w:r w:rsidRPr="00F60059">
        <w:t>al.</w:t>
      </w:r>
      <w:r w:rsidR="00943AA5" w:rsidRPr="00F60059">
        <w:rPr>
          <w:szCs w:val="24"/>
        </w:rPr>
        <w:t xml:space="preserve">  </w:t>
      </w:r>
      <w:r w:rsidR="00943AA5" w:rsidRPr="00F60059">
        <w:t xml:space="preserve">À l’issue d’un contrôle judiciaire, la décision </w:t>
      </w:r>
      <w:r w:rsidR="00886071" w:rsidRPr="00F60059">
        <w:t xml:space="preserve">du Tribunal </w:t>
      </w:r>
      <w:r w:rsidR="00943AA5" w:rsidRPr="00F60059">
        <w:t>a été annulée</w:t>
      </w:r>
      <w:r w:rsidR="00886071" w:rsidRPr="00F60059">
        <w:t>, mais la Cour d’appel l’a rétablie</w:t>
      </w:r>
      <w:r w:rsidR="00943AA5" w:rsidRPr="00F60059">
        <w:t xml:space="preserve">, concluant que </w:t>
      </w:r>
      <w:r w:rsidR="00886071" w:rsidRPr="00F60059">
        <w:t>cette</w:t>
      </w:r>
      <w:r w:rsidR="00943AA5" w:rsidRPr="00F60059">
        <w:t xml:space="preserve"> décision du Tribunal n’était pas manifestement déraisonnable.</w:t>
      </w:r>
      <w:r w:rsidR="00943AA5" w:rsidRPr="00F60059">
        <w:rPr>
          <w:szCs w:val="24"/>
        </w:rPr>
        <w:t xml:space="preserve"> </w:t>
      </w:r>
    </w:p>
    <w:p w:rsidR="00943AA5" w:rsidRPr="00F60059" w:rsidRDefault="001A7570" w:rsidP="00FC1290">
      <w:pPr>
        <w:pStyle w:val="SCCNormalDoubleSpacing"/>
        <w:spacing w:after="480"/>
        <w:rPr>
          <w:szCs w:val="24"/>
        </w:rPr>
      </w:pPr>
      <w:r w:rsidRPr="00F60059">
        <w:rPr>
          <w:i/>
          <w:szCs w:val="24"/>
        </w:rPr>
        <w:tab/>
      </w:r>
      <w:r w:rsidR="00943AA5" w:rsidRPr="00F60059">
        <w:rPr>
          <w:i/>
          <w:szCs w:val="24"/>
        </w:rPr>
        <w:t>Arrêt</w:t>
      </w:r>
      <w:r w:rsidRPr="00F60059">
        <w:rPr>
          <w:szCs w:val="24"/>
        </w:rPr>
        <w:t> :</w:t>
      </w:r>
      <w:r w:rsidR="00943AA5" w:rsidRPr="00F60059">
        <w:rPr>
          <w:szCs w:val="24"/>
        </w:rPr>
        <w:t xml:space="preserve"> Le </w:t>
      </w:r>
      <w:r w:rsidR="00943AA5" w:rsidRPr="00F60059">
        <w:t>pourvoi</w:t>
      </w:r>
      <w:r w:rsidR="00943AA5" w:rsidRPr="00F60059">
        <w:rPr>
          <w:szCs w:val="24"/>
        </w:rPr>
        <w:t xml:space="preserve"> est accueilli, la décision du Tribunal est annulée et les plaintes sont rejetées.</w:t>
      </w:r>
    </w:p>
    <w:p w:rsidR="00943AA5" w:rsidRPr="00F60059" w:rsidRDefault="001A7570" w:rsidP="00FC1290">
      <w:pPr>
        <w:pStyle w:val="SCCNormalDoubleSpacing"/>
        <w:spacing w:after="480"/>
      </w:pPr>
      <w:r w:rsidRPr="00F60059">
        <w:rPr>
          <w:i/>
          <w:szCs w:val="24"/>
        </w:rPr>
        <w:tab/>
      </w:r>
      <w:r w:rsidR="00943AA5" w:rsidRPr="00F60059">
        <w:rPr>
          <w:i/>
          <w:szCs w:val="24"/>
        </w:rPr>
        <w:t>Les</w:t>
      </w:r>
      <w:r w:rsidR="00943AA5" w:rsidRPr="00F60059">
        <w:rPr>
          <w:szCs w:val="24"/>
        </w:rPr>
        <w:t xml:space="preserve"> juges </w:t>
      </w:r>
      <w:proofErr w:type="spellStart"/>
      <w:r w:rsidR="00943AA5" w:rsidRPr="00F60059">
        <w:rPr>
          <w:szCs w:val="24"/>
        </w:rPr>
        <w:t>LeBel</w:t>
      </w:r>
      <w:proofErr w:type="spellEnd"/>
      <w:r w:rsidR="00943AA5" w:rsidRPr="00F60059">
        <w:rPr>
          <w:szCs w:val="24"/>
        </w:rPr>
        <w:t xml:space="preserve">, </w:t>
      </w:r>
      <w:r w:rsidR="00943AA5" w:rsidRPr="00F60059">
        <w:t>Deschamps</w:t>
      </w:r>
      <w:r w:rsidR="00943AA5" w:rsidRPr="00F60059">
        <w:rPr>
          <w:szCs w:val="24"/>
        </w:rPr>
        <w:t xml:space="preserve">, Abella, Charron et </w:t>
      </w:r>
      <w:proofErr w:type="spellStart"/>
      <w:r w:rsidR="00943AA5" w:rsidRPr="00F60059">
        <w:rPr>
          <w:szCs w:val="24"/>
        </w:rPr>
        <w:t>Rothstein</w:t>
      </w:r>
      <w:proofErr w:type="spellEnd"/>
      <w:r w:rsidRPr="00F60059">
        <w:rPr>
          <w:szCs w:val="24"/>
        </w:rPr>
        <w:t> :</w:t>
      </w:r>
      <w:r w:rsidR="00943AA5" w:rsidRPr="00F60059">
        <w:rPr>
          <w:szCs w:val="24"/>
        </w:rPr>
        <w:t xml:space="preserve"> </w:t>
      </w:r>
      <w:r w:rsidR="00EF4C61">
        <w:t>L’alinéa 27(1)</w:t>
      </w:r>
      <w:r w:rsidR="00943AA5" w:rsidRPr="00F60059">
        <w:rPr>
          <w:iCs/>
        </w:rPr>
        <w:t>f</w:t>
      </w:r>
      <w:r w:rsidR="00943AA5" w:rsidRPr="00F60059">
        <w:t xml:space="preserve">) codifie l’ensemble des principes </w:t>
      </w:r>
      <w:proofErr w:type="spellStart"/>
      <w:r w:rsidR="00943AA5" w:rsidRPr="00F60059">
        <w:t>sous</w:t>
      </w:r>
      <w:r w:rsidRPr="00F60059">
        <w:noBreakHyphen/>
      </w:r>
      <w:r w:rsidR="00943AA5" w:rsidRPr="00F60059">
        <w:t>jacents</w:t>
      </w:r>
      <w:proofErr w:type="spellEnd"/>
      <w:r w:rsidR="00943AA5" w:rsidRPr="00F60059">
        <w:t xml:space="preserve"> des règles en matière de </w:t>
      </w:r>
      <w:proofErr w:type="spellStart"/>
      <w:r w:rsidR="00943AA5" w:rsidRPr="00F60059">
        <w:t>préclusion</w:t>
      </w:r>
      <w:proofErr w:type="spellEnd"/>
      <w:r w:rsidR="00943AA5" w:rsidRPr="00F60059">
        <w:t xml:space="preserve"> découlant d’une question déjà tranchée, de contestation indirecte et d’abus de procédure </w:t>
      </w:r>
      <w:r w:rsidR="00FC0C61" w:rsidRPr="00F60059">
        <w:t>—</w:t>
      </w:r>
      <w:r w:rsidR="00943AA5" w:rsidRPr="00F60059">
        <w:t xml:space="preserve"> auxquelles la </w:t>
      </w:r>
      <w:proofErr w:type="spellStart"/>
      <w:r w:rsidR="00943AA5" w:rsidRPr="00F60059">
        <w:t>common</w:t>
      </w:r>
      <w:proofErr w:type="spellEnd"/>
      <w:r w:rsidR="00943AA5" w:rsidRPr="00F60059">
        <w:t xml:space="preserve"> </w:t>
      </w:r>
      <w:proofErr w:type="spellStart"/>
      <w:r w:rsidR="00943AA5" w:rsidRPr="00F60059">
        <w:t>law</w:t>
      </w:r>
      <w:proofErr w:type="spellEnd"/>
      <w:r w:rsidR="00943AA5" w:rsidRPr="00F60059">
        <w:t xml:space="preserve"> a eu recours </w:t>
      </w:r>
      <w:r w:rsidR="002B4142" w:rsidRPr="00F60059">
        <w:t>comme véhicule pour porter</w:t>
      </w:r>
      <w:r w:rsidR="00943AA5" w:rsidRPr="00F60059">
        <w:t>, en contexte de procédures judiciaires, les principes de caractère définitif des instances, de prévention de leur multiplication et de protection de l’intégrité de l’administration de la justice, dans c</w:t>
      </w:r>
      <w:r w:rsidR="00A525EF" w:rsidRPr="00F60059">
        <w:t>haque cas, par souci d’équité.</w:t>
      </w:r>
    </w:p>
    <w:p w:rsidR="00943AA5" w:rsidRPr="00F60059" w:rsidRDefault="001A7570" w:rsidP="00FC1290">
      <w:pPr>
        <w:pStyle w:val="SCCNormalDoubleSpacing"/>
        <w:spacing w:after="480"/>
      </w:pPr>
      <w:r w:rsidRPr="00F60059">
        <w:tab/>
      </w:r>
      <w:r w:rsidR="00943AA5" w:rsidRPr="00F60059">
        <w:t xml:space="preserve">Considéré </w:t>
      </w:r>
      <w:r w:rsidR="002B4142" w:rsidRPr="00F60059">
        <w:t>dans son ensemble</w:t>
      </w:r>
      <w:r w:rsidR="00943AA5" w:rsidRPr="00F60059">
        <w:t>, l’al</w:t>
      </w:r>
      <w:r w:rsidR="002A18F2" w:rsidRPr="00F60059">
        <w:t>.</w:t>
      </w:r>
      <w:r w:rsidR="00943AA5" w:rsidRPr="00F60059">
        <w:t> 27(1)</w:t>
      </w:r>
      <w:r w:rsidR="00943AA5" w:rsidRPr="00F60059">
        <w:rPr>
          <w:iCs/>
        </w:rPr>
        <w:t>f</w:t>
      </w:r>
      <w:r w:rsidR="00943AA5" w:rsidRPr="00F60059">
        <w:t xml:space="preserve">) ne codifie pas les doctrines </w:t>
      </w:r>
      <w:proofErr w:type="spellStart"/>
      <w:r w:rsidR="00943AA5" w:rsidRPr="00F60059">
        <w:t>elles</w:t>
      </w:r>
      <w:r w:rsidRPr="00F60059">
        <w:noBreakHyphen/>
      </w:r>
      <w:r w:rsidR="00943AA5" w:rsidRPr="00F60059">
        <w:t>mêmes</w:t>
      </w:r>
      <w:proofErr w:type="spellEnd"/>
      <w:r w:rsidR="00943AA5" w:rsidRPr="00F60059">
        <w:t xml:space="preserve"> ou leurs explications techniques, il en </w:t>
      </w:r>
      <w:r w:rsidR="002B4142" w:rsidRPr="00F60059">
        <w:t>englobe</w:t>
      </w:r>
      <w:r w:rsidR="00943AA5" w:rsidRPr="00F60059">
        <w:t xml:space="preserve"> les principes </w:t>
      </w:r>
      <w:proofErr w:type="spellStart"/>
      <w:r w:rsidR="00943AA5" w:rsidRPr="00F60059">
        <w:t>sous</w:t>
      </w:r>
      <w:r w:rsidRPr="00F60059">
        <w:noBreakHyphen/>
      </w:r>
      <w:r w:rsidR="00943AA5" w:rsidRPr="00F60059">
        <w:t>jacents</w:t>
      </w:r>
      <w:proofErr w:type="spellEnd"/>
      <w:r w:rsidR="00943AA5" w:rsidRPr="00F60059">
        <w:t>.  Il s’ensuit que ce ne sont pas tant des dogmes doctrinaux précis qui d</w:t>
      </w:r>
      <w:r w:rsidR="002B4142" w:rsidRPr="00F60059">
        <w:t>evraie</w:t>
      </w:r>
      <w:r w:rsidR="00943AA5" w:rsidRPr="00F60059">
        <w:t xml:space="preserve">nt guider le Tribunal que les objets de la disposition, qui sont d’assurer l’équité du caractère définitif du processus décisionnel et d’éviter la remise en cause de questions déjà </w:t>
      </w:r>
      <w:r w:rsidR="00943AA5" w:rsidRPr="00F60059">
        <w:lastRenderedPageBreak/>
        <w:t>tranchées par un décideur ayant compétence pour en connaître.  En s’appuyant sur ces principes, le Tribunal est appelé à se demander s’il existe une compétence concurrente pour statuer sur ces questions, si la question juridique tranchée par la décision antérieure était essentiellement la même que celle qui est soulevée dans la plainte dont il est saisi et si le processus antérieur</w:t>
      </w:r>
      <w:r w:rsidR="002B4142" w:rsidRPr="00F60059">
        <w:t>, qu’il ressemble ou non à la procédure que le Tribunal préfère ou utilise lui-même,</w:t>
      </w:r>
      <w:r w:rsidR="00943AA5" w:rsidRPr="00F60059">
        <w:t xml:space="preserve"> a offert la possibilité aux plaignants ou à leurs ayants droit de connaître les éléments invoqués contre eux et de les réfuter</w:t>
      </w:r>
      <w:r w:rsidR="00E1372C" w:rsidRPr="00F60059">
        <w:t xml:space="preserve">.  </w:t>
      </w:r>
      <w:r w:rsidR="00943AA5" w:rsidRPr="00F60059">
        <w:t>Toutes ces questions visent à déterminer s’il « a été statué de façon appropriée » sur le fond de la plainte, le critère établi à l’</w:t>
      </w:r>
      <w:r w:rsidRPr="00F60059">
        <w:t>al. </w:t>
      </w:r>
      <w:r w:rsidR="00943AA5" w:rsidRPr="00F60059">
        <w:t xml:space="preserve">27(1)f). En s’en tenant à l’application stricte de la </w:t>
      </w:r>
      <w:proofErr w:type="spellStart"/>
      <w:r w:rsidR="00943AA5" w:rsidRPr="00F60059">
        <w:t>préclusion</w:t>
      </w:r>
      <w:proofErr w:type="spellEnd"/>
      <w:r w:rsidR="00943AA5" w:rsidRPr="00F60059">
        <w:t xml:space="preserve"> découlant d’une question déjà tranchée, le Tribunal a donné une interprétation trop formaliste à l’al</w:t>
      </w:r>
      <w:r w:rsidR="002A18F2" w:rsidRPr="00F60059">
        <w:t>.</w:t>
      </w:r>
      <w:r w:rsidR="00943AA5" w:rsidRPr="00F60059">
        <w:t xml:space="preserve"> 27(1)f) et, plus particulièrement, aux mots « a été statué de façon appropriée ». Plutôt que de donner effet à l’objectif de prévention des remises en cause inutiles, une telle interprétation y fait obstacle.  </w:t>
      </w:r>
    </w:p>
    <w:p w:rsidR="00943AA5" w:rsidRPr="00F60059" w:rsidRDefault="001A7570" w:rsidP="00FC1290">
      <w:pPr>
        <w:pStyle w:val="SCCNormalDoubleSpacing"/>
        <w:spacing w:after="480"/>
      </w:pPr>
      <w:r w:rsidRPr="00F60059">
        <w:tab/>
      </w:r>
      <w:r w:rsidR="00A525EF" w:rsidRPr="00F60059">
        <w:t>L’alinéa </w:t>
      </w:r>
      <w:r w:rsidR="00943AA5" w:rsidRPr="00F60059">
        <w:t xml:space="preserve">27(1)f) ne constitue pas une invitation au contrôle judiciaire de la décision d’un autre tribunal ou au réexamen d’une question dûment tranchée pour voir si un résultat différent pourrait en émerger.  Cet alinéa vise plutôt à instaurer un respect juridictionnel entre tribunaux administratifs voisins, englobant le respect du droit à la protection </w:t>
      </w:r>
      <w:r w:rsidR="002B4142" w:rsidRPr="00F60059">
        <w:t xml:space="preserve">de leur </w:t>
      </w:r>
      <w:r w:rsidR="00A72B14" w:rsidRPr="00F60059">
        <w:t xml:space="preserve">propre </w:t>
      </w:r>
      <w:r w:rsidR="002B4142" w:rsidRPr="00F60059">
        <w:t xml:space="preserve">voie verticale de révision </w:t>
      </w:r>
      <w:r w:rsidR="00943AA5" w:rsidRPr="00F60059">
        <w:t xml:space="preserve">contre les empiétements indirects.  L’organisme juridictionnel qui se prononce sur une question qui est de son ressort et les parties en cause doivent pouvoir tenir pour acquis que, sous réserve d’un </w:t>
      </w:r>
      <w:r w:rsidR="00943AA5" w:rsidRPr="00F60059">
        <w:lastRenderedPageBreak/>
        <w:t xml:space="preserve">appel ou d’un contrôle judiciaire, non seulement la décision </w:t>
      </w:r>
      <w:proofErr w:type="spellStart"/>
      <w:r w:rsidR="00943AA5" w:rsidRPr="00F60059">
        <w:rPr>
          <w:iCs/>
        </w:rPr>
        <w:t>sera</w:t>
      </w:r>
      <w:r w:rsidRPr="00F60059">
        <w:rPr>
          <w:iCs/>
        </w:rPr>
        <w:noBreakHyphen/>
      </w:r>
      <w:r w:rsidR="00943AA5" w:rsidRPr="00F60059">
        <w:rPr>
          <w:iCs/>
        </w:rPr>
        <w:t>t</w:t>
      </w:r>
      <w:r w:rsidRPr="00F60059">
        <w:rPr>
          <w:iCs/>
        </w:rPr>
        <w:noBreakHyphen/>
      </w:r>
      <w:r w:rsidR="00943AA5" w:rsidRPr="00F60059">
        <w:rPr>
          <w:iCs/>
        </w:rPr>
        <w:t>elle</w:t>
      </w:r>
      <w:proofErr w:type="spellEnd"/>
      <w:r w:rsidR="00943AA5" w:rsidRPr="00F60059">
        <w:t xml:space="preserve"> définitive, mais elle sera considérée telle par les autr</w:t>
      </w:r>
      <w:r w:rsidR="00A525EF" w:rsidRPr="00F60059">
        <w:t>es organismes juridictionnels.</w:t>
      </w:r>
    </w:p>
    <w:p w:rsidR="00943AA5" w:rsidRPr="00F60059" w:rsidRDefault="001A7570" w:rsidP="00FC1290">
      <w:pPr>
        <w:pStyle w:val="SCCNormalDoubleSpacing"/>
        <w:spacing w:after="480"/>
      </w:pPr>
      <w:r w:rsidRPr="00F60059">
        <w:tab/>
      </w:r>
      <w:r w:rsidR="00943AA5" w:rsidRPr="00F60059">
        <w:t>Le pouvoir discrétionnaire conféré par l’</w:t>
      </w:r>
      <w:r w:rsidRPr="00F60059">
        <w:t>al. </w:t>
      </w:r>
      <w:r w:rsidR="00943AA5" w:rsidRPr="00F60059">
        <w:t>27(1)</w:t>
      </w:r>
      <w:r w:rsidR="00943AA5" w:rsidRPr="00F60059">
        <w:rPr>
          <w:iCs/>
        </w:rPr>
        <w:t>f</w:t>
      </w:r>
      <w:r w:rsidR="00943AA5" w:rsidRPr="00F60059">
        <w:t xml:space="preserve">) se voulait restreint, non seulement en raison du texte de cette disposition et de l’historique législatif, mais également de la nature des six autres catégories de plaintes mentionnées au </w:t>
      </w:r>
      <w:r w:rsidRPr="00F60059">
        <w:t>par. </w:t>
      </w:r>
      <w:r w:rsidR="00943AA5" w:rsidRPr="00F60059">
        <w:t>27(1), faisant chacune référence à des circonstances qui laissent présumer qu’il ne serait pas justifié d’entendre la plainte</w:t>
      </w:r>
      <w:r w:rsidRPr="00F60059">
        <w:t> :</w:t>
      </w:r>
      <w:r w:rsidR="00943AA5" w:rsidRPr="00F60059">
        <w:t xml:space="preserve"> les plaintes qui ne relèvent pas de la compétence du Tribunal, celles qui allèguent des actes ou des omissions qui ne contreviennent pas au </w:t>
      </w:r>
      <w:r w:rsidR="00943AA5" w:rsidRPr="00F60059">
        <w:rPr>
          <w:i/>
        </w:rPr>
        <w:t>Code</w:t>
      </w:r>
      <w:r w:rsidR="00943AA5" w:rsidRPr="00F60059">
        <w:t>, s’il n’existe aucune possibilité raisonnable que le plaignant ait gain de cause, si les plaintes n’apporteraient rien au plaignant et ne servirai</w:t>
      </w:r>
      <w:r w:rsidR="00A72B14">
        <w:t>en</w:t>
      </w:r>
      <w:r w:rsidR="00943AA5" w:rsidRPr="00F60059">
        <w:t xml:space="preserve">t pas les fins poursuivies par le </w:t>
      </w:r>
      <w:r w:rsidR="00943AA5" w:rsidRPr="00F60059">
        <w:rPr>
          <w:i/>
        </w:rPr>
        <w:t>Code</w:t>
      </w:r>
      <w:r w:rsidR="00943AA5" w:rsidRPr="00F60059">
        <w:t xml:space="preserve"> ou si elles ont été déposées de mauvaise foi ou à des fins illégitimes</w:t>
      </w:r>
      <w:r w:rsidR="00205FD7" w:rsidRPr="00F60059">
        <w:t xml:space="preserve">. </w:t>
      </w:r>
    </w:p>
    <w:p w:rsidR="00943AA5" w:rsidRPr="00F60059" w:rsidRDefault="001A7570" w:rsidP="00FC1290">
      <w:pPr>
        <w:pStyle w:val="SCCNormalDoubleSpacing"/>
        <w:spacing w:after="480"/>
      </w:pPr>
      <w:r w:rsidRPr="00F60059">
        <w:tab/>
      </w:r>
      <w:r w:rsidR="00943AA5" w:rsidRPr="00F60059">
        <w:t>En l’espèce, les plaignants cherchaient à soulever de nouveau la question devant un autre forum.  Plutôt que d’emprunter la voie du contrôle judiciaire, qui leur était ouverte, pour contester la décision de l’agent de révision, ils ont engagé une nouvelle instance devant un autre tribunal administratif dans l’espoir d’obtenir un résultat plus favorable.  Cette stratégie constituait un « appel indirect », une démarche que l’</w:t>
      </w:r>
      <w:r w:rsidRPr="00F60059">
        <w:t>al. </w:t>
      </w:r>
      <w:r w:rsidR="00943AA5" w:rsidRPr="00F60059">
        <w:t>27(1)</w:t>
      </w:r>
      <w:r w:rsidR="00943AA5" w:rsidRPr="00F60059">
        <w:rPr>
          <w:iCs/>
        </w:rPr>
        <w:t>f</w:t>
      </w:r>
      <w:r w:rsidR="00943AA5" w:rsidRPr="00F60059">
        <w:t xml:space="preserve">) et les doctrines de </w:t>
      </w:r>
      <w:proofErr w:type="spellStart"/>
      <w:r w:rsidR="00943AA5" w:rsidRPr="00F60059">
        <w:t>common</w:t>
      </w:r>
      <w:proofErr w:type="spellEnd"/>
      <w:r w:rsidR="00943AA5" w:rsidRPr="00F60059">
        <w:t xml:space="preserve"> </w:t>
      </w:r>
      <w:proofErr w:type="spellStart"/>
      <w:r w:rsidR="00943AA5" w:rsidRPr="00F60059">
        <w:t>law</w:t>
      </w:r>
      <w:proofErr w:type="spellEnd"/>
      <w:r w:rsidR="00943AA5" w:rsidRPr="00F60059">
        <w:t xml:space="preserve"> visent précisément à éviter</w:t>
      </w:r>
      <w:r w:rsidR="00205FD7" w:rsidRPr="00F60059">
        <w:t xml:space="preserve">. </w:t>
      </w:r>
      <w:r w:rsidR="00943AA5" w:rsidRPr="00F60059">
        <w:t xml:space="preserve">L’analyse du Tribunal l’a rendu complice de cette tentative de contester indirectement le </w:t>
      </w:r>
      <w:proofErr w:type="spellStart"/>
      <w:r w:rsidR="00943AA5" w:rsidRPr="00F60059">
        <w:t>bien</w:t>
      </w:r>
      <w:r w:rsidRPr="00F60059">
        <w:noBreakHyphen/>
      </w:r>
      <w:r w:rsidR="00943AA5" w:rsidRPr="00F60059">
        <w:t>fondé</w:t>
      </w:r>
      <w:proofErr w:type="spellEnd"/>
      <w:r w:rsidR="00943AA5" w:rsidRPr="00F60059">
        <w:t xml:space="preserve"> de la décision de la Commission et du processus suivi; on y trouve une myriade de facteurs en fonction desquels le Tribunal s’est demandé s’il était à l’aise avec le processus de l’instance antérieure et avec les motifs de la décision de l’agent </w:t>
      </w:r>
      <w:r w:rsidR="00943AA5" w:rsidRPr="00F60059">
        <w:lastRenderedPageBreak/>
        <w:t xml:space="preserve">de révision. Il s’est demandé si le processus suivi devant la Section de révision satisfaisait aux exigences procédurales; </w:t>
      </w:r>
      <w:r w:rsidR="00A72B14">
        <w:t xml:space="preserve">et </w:t>
      </w:r>
      <w:r w:rsidR="00943AA5" w:rsidRPr="00F60059">
        <w:t xml:space="preserve">il a critiqué l’interprétation que l’agent de révision a faite de son mandat en matière de droits de la personne; il a conclu que la décision de l’agent de révision n’était pas définitive; il a conclu que les parties qu’il avait devant lui n’étaient pas les mêmes que celles qui s’étaient présentées devant la Commission; il a indiqué que l’agent de révision n’avait pas l’expertise voulue pour interpréter ou appliquer le </w:t>
      </w:r>
      <w:r w:rsidR="00943AA5" w:rsidRPr="00F60059">
        <w:rPr>
          <w:i/>
        </w:rPr>
        <w:t>Code</w:t>
      </w:r>
      <w:r w:rsidR="00943AA5" w:rsidRPr="00F60059">
        <w:t xml:space="preserve">. </w:t>
      </w:r>
    </w:p>
    <w:p w:rsidR="00943AA5" w:rsidRPr="00F60059" w:rsidRDefault="001A7570" w:rsidP="00FC1290">
      <w:pPr>
        <w:pStyle w:val="SCCNormalDoubleSpacing"/>
        <w:spacing w:after="480"/>
      </w:pPr>
      <w:r w:rsidRPr="00F60059">
        <w:tab/>
      </w:r>
      <w:r w:rsidR="00943AA5" w:rsidRPr="00F60059">
        <w:t>La norme de contrôle applicable est celle de la décision manifestement déraisonnable, aux termes de l’</w:t>
      </w:r>
      <w:r w:rsidRPr="00F60059">
        <w:t>art. </w:t>
      </w:r>
      <w:r w:rsidR="00943AA5" w:rsidRPr="00F60059">
        <w:t>59 de l’</w:t>
      </w:r>
      <w:r w:rsidR="00943AA5" w:rsidRPr="00F60059">
        <w:rPr>
          <w:i/>
        </w:rPr>
        <w:t xml:space="preserve">Administrative </w:t>
      </w:r>
      <w:proofErr w:type="spellStart"/>
      <w:r w:rsidR="00943AA5" w:rsidRPr="00F60059">
        <w:rPr>
          <w:i/>
        </w:rPr>
        <w:t>Tribunals</w:t>
      </w:r>
      <w:proofErr w:type="spellEnd"/>
      <w:r w:rsidR="00943AA5" w:rsidRPr="00F60059">
        <w:rPr>
          <w:i/>
        </w:rPr>
        <w:t xml:space="preserve"> </w:t>
      </w:r>
      <w:proofErr w:type="spellStart"/>
      <w:r w:rsidR="00943AA5" w:rsidRPr="00F60059">
        <w:rPr>
          <w:i/>
        </w:rPr>
        <w:t>Act</w:t>
      </w:r>
      <w:proofErr w:type="spellEnd"/>
      <w:r w:rsidR="00943AA5" w:rsidRPr="00F60059">
        <w:t>.  Parce que la décision du Tribunal de recevoir ces plaintes et de les entendre de nouveau repose principalement sur des facteurs non pertinents et ne tient pas compte du mandat véritable que lui confère l’</w:t>
      </w:r>
      <w:r w:rsidRPr="00F60059">
        <w:t>al. </w:t>
      </w:r>
      <w:r w:rsidR="00943AA5" w:rsidRPr="00F60059">
        <w:t>27(1)</w:t>
      </w:r>
      <w:r w:rsidR="00943AA5" w:rsidRPr="00F60059">
        <w:rPr>
          <w:iCs/>
        </w:rPr>
        <w:t>f</w:t>
      </w:r>
      <w:r w:rsidR="00943AA5" w:rsidRPr="00F60059">
        <w:t>), elle es</w:t>
      </w:r>
      <w:r w:rsidR="00A525EF" w:rsidRPr="00F60059">
        <w:t>t manifestement déraisonnable.</w:t>
      </w:r>
    </w:p>
    <w:p w:rsidR="00943AA5" w:rsidRPr="00F60059" w:rsidRDefault="001A7570" w:rsidP="00FC1290">
      <w:pPr>
        <w:pStyle w:val="SCCNormalDoubleSpacing"/>
        <w:spacing w:after="480"/>
      </w:pPr>
      <w:r w:rsidRPr="00F60059">
        <w:rPr>
          <w:i/>
        </w:rPr>
        <w:tab/>
      </w:r>
      <w:r w:rsidR="00943AA5" w:rsidRPr="00F60059">
        <w:rPr>
          <w:i/>
        </w:rPr>
        <w:t xml:space="preserve">La </w:t>
      </w:r>
      <w:r w:rsidR="00943AA5" w:rsidRPr="00F60059">
        <w:t xml:space="preserve">juge en chef </w:t>
      </w:r>
      <w:proofErr w:type="spellStart"/>
      <w:r w:rsidR="00943AA5" w:rsidRPr="00F60059">
        <w:t>McLachlin</w:t>
      </w:r>
      <w:proofErr w:type="spellEnd"/>
      <w:r w:rsidR="00943AA5" w:rsidRPr="00F60059">
        <w:t xml:space="preserve"> et les juges </w:t>
      </w:r>
      <w:proofErr w:type="spellStart"/>
      <w:r w:rsidR="00943AA5" w:rsidRPr="00F60059">
        <w:t>Binnie</w:t>
      </w:r>
      <w:proofErr w:type="spellEnd"/>
      <w:r w:rsidR="00943AA5" w:rsidRPr="00F60059">
        <w:t>, Fish et Cromwell</w:t>
      </w:r>
      <w:r w:rsidRPr="00F60059">
        <w:t> :</w:t>
      </w:r>
      <w:r w:rsidR="00943AA5" w:rsidRPr="00F60059">
        <w:t xml:space="preserve"> La </w:t>
      </w:r>
      <w:proofErr w:type="spellStart"/>
      <w:r w:rsidR="00943AA5" w:rsidRPr="00F60059">
        <w:t>common</w:t>
      </w:r>
      <w:proofErr w:type="spellEnd"/>
      <w:r w:rsidR="00943AA5" w:rsidRPr="00F60059">
        <w:t xml:space="preserve"> </w:t>
      </w:r>
      <w:proofErr w:type="spellStart"/>
      <w:r w:rsidR="00943AA5" w:rsidRPr="00F60059">
        <w:t>law</w:t>
      </w:r>
      <w:proofErr w:type="spellEnd"/>
      <w:r w:rsidR="00943AA5" w:rsidRPr="00F60059">
        <w:t xml:space="preserve"> et en particulier l’</w:t>
      </w:r>
      <w:r w:rsidRPr="00F60059">
        <w:t>al. </w:t>
      </w:r>
      <w:r w:rsidR="00943AA5" w:rsidRPr="00F60059">
        <w:t xml:space="preserve">27(1)f) du </w:t>
      </w:r>
      <w:r w:rsidR="00943AA5" w:rsidRPr="00F60059">
        <w:rPr>
          <w:i/>
        </w:rPr>
        <w:t>Code</w:t>
      </w:r>
      <w:r w:rsidR="00943AA5" w:rsidRPr="00F60059">
        <w:t xml:space="preserve"> tendent tous deux à la réalisation de ce nécessaire équilibre entre le caractère définitif des décisions et l’équité, et ce, par l’exercice du pouvoir discrétionnaire du Tribun</w:t>
      </w:r>
      <w:r w:rsidRPr="00F60059">
        <w:t>al. </w:t>
      </w:r>
      <w:r w:rsidR="00943AA5" w:rsidRPr="00F60059">
        <w:t xml:space="preserve"> </w:t>
      </w:r>
      <w:r w:rsidR="00EB72DB" w:rsidRPr="00F60059">
        <w:t xml:space="preserve"> </w:t>
      </w:r>
      <w:r w:rsidR="00943AA5" w:rsidRPr="00F60059">
        <w:t>C’est la recherche de cet équilibre qui est au cœur tant des doctrines</w:t>
      </w:r>
      <w:r w:rsidR="00EB72DB" w:rsidRPr="00F60059">
        <w:t xml:space="preserve"> de la </w:t>
      </w:r>
      <w:proofErr w:type="spellStart"/>
      <w:r w:rsidR="00EB72DB" w:rsidRPr="00F60059">
        <w:t>common</w:t>
      </w:r>
      <w:proofErr w:type="spellEnd"/>
      <w:r w:rsidR="00EB72DB" w:rsidRPr="00F60059">
        <w:t xml:space="preserve"> </w:t>
      </w:r>
      <w:proofErr w:type="spellStart"/>
      <w:r w:rsidR="00EB72DB" w:rsidRPr="00F60059">
        <w:t>law</w:t>
      </w:r>
      <w:proofErr w:type="spellEnd"/>
      <w:r w:rsidR="00943AA5" w:rsidRPr="00F60059">
        <w:t xml:space="preserve"> relatives au caractère définitif des décisions que de l’intention </w:t>
      </w:r>
      <w:r w:rsidR="00EB72DB" w:rsidRPr="00F60059">
        <w:t>d</w:t>
      </w:r>
      <w:r w:rsidR="00943AA5" w:rsidRPr="00F60059">
        <w:t>u législateur en édictant l’</w:t>
      </w:r>
      <w:r w:rsidRPr="00F60059">
        <w:t>al. </w:t>
      </w:r>
      <w:r w:rsidR="00943AA5" w:rsidRPr="00F60059">
        <w:t xml:space="preserve">27(1)f).  En donnant une portée étroite au pouvoir discrétionnaire </w:t>
      </w:r>
      <w:r w:rsidR="00EB72DB" w:rsidRPr="00F60059">
        <w:t xml:space="preserve">que </w:t>
      </w:r>
      <w:r w:rsidR="00943AA5" w:rsidRPr="00F60059">
        <w:t>l’</w:t>
      </w:r>
      <w:r w:rsidRPr="00F60059">
        <w:t>al. </w:t>
      </w:r>
      <w:r w:rsidR="00943AA5" w:rsidRPr="00F60059">
        <w:t>27(1)f)</w:t>
      </w:r>
      <w:r w:rsidR="00EB72DB" w:rsidRPr="00F60059">
        <w:t xml:space="preserve"> confère au Tribunal</w:t>
      </w:r>
      <w:r w:rsidR="00943AA5" w:rsidRPr="00F60059">
        <w:t>, on ne tient pas compte de cette intention claire du législateur.</w:t>
      </w:r>
      <w:r w:rsidR="00943AA5" w:rsidRPr="00F60059" w:rsidDel="00AB34CD">
        <w:t xml:space="preserve"> </w:t>
      </w:r>
      <w:r w:rsidR="00A525EF" w:rsidRPr="00F60059">
        <w:t xml:space="preserve"> </w:t>
      </w:r>
      <w:r w:rsidR="00943AA5" w:rsidRPr="00F60059">
        <w:t>En fait, l’</w:t>
      </w:r>
      <w:r w:rsidRPr="00F60059">
        <w:t>al. </w:t>
      </w:r>
      <w:r w:rsidR="00943AA5" w:rsidRPr="00F60059">
        <w:t xml:space="preserve">27(1)f) confère en termes très larges au Tribunal un pouvoir discrétionnaire </w:t>
      </w:r>
      <w:r w:rsidR="00943AA5" w:rsidRPr="00F60059">
        <w:lastRenderedPageBreak/>
        <w:t>souple propre à lui permettre de réaliser cet équilibre dans la multitude de contextes où d’autres tribunaux administratifs ont pu se prononcer sur une question relev</w:t>
      </w:r>
      <w:r w:rsidR="00A525EF" w:rsidRPr="00F60059">
        <w:t>ant des droits de la personne.</w:t>
      </w:r>
    </w:p>
    <w:p w:rsidR="00943AA5" w:rsidRPr="00F60059" w:rsidRDefault="001A7570" w:rsidP="00FC1290">
      <w:pPr>
        <w:pStyle w:val="SCCNormalDoubleSpacing"/>
        <w:spacing w:after="480"/>
      </w:pPr>
      <w:r w:rsidRPr="00F60059">
        <w:tab/>
      </w:r>
      <w:r w:rsidR="00943AA5" w:rsidRPr="00F60059">
        <w:t>Le sens ordinaire et grammatical des termes de l’</w:t>
      </w:r>
      <w:r w:rsidRPr="00F60059">
        <w:t>al. </w:t>
      </w:r>
      <w:r w:rsidR="00943AA5" w:rsidRPr="00F60059">
        <w:t xml:space="preserve">27(1)f) permet de donner une large portée au pouvoir discrétionnaire, non une portée restreinte.  On ne peut considérer </w:t>
      </w:r>
      <w:r w:rsidR="00EB72DB" w:rsidRPr="00F60059">
        <w:t xml:space="preserve">qu’il </w:t>
      </w:r>
      <w:r w:rsidR="00943AA5" w:rsidRPr="00F60059">
        <w:t>faille interpréter l’</w:t>
      </w:r>
      <w:r w:rsidRPr="00F60059">
        <w:t>al. </w:t>
      </w:r>
      <w:r w:rsidR="00943AA5" w:rsidRPr="00F60059">
        <w:t xml:space="preserve">27(1)f) de façon restrictive en raison </w:t>
      </w:r>
      <w:r w:rsidR="00EB72DB" w:rsidRPr="00F60059">
        <w:t>de la nature des</w:t>
      </w:r>
      <w:r w:rsidR="00943AA5" w:rsidRPr="00F60059">
        <w:t xml:space="preserve"> six autres catégories de pouvoirs discrétionnaires conférés </w:t>
      </w:r>
      <w:r w:rsidR="00EB72DB" w:rsidRPr="00F60059">
        <w:t>au par. </w:t>
      </w:r>
      <w:r w:rsidR="00943AA5" w:rsidRPr="00F60059">
        <w:t>27</w:t>
      </w:r>
      <w:r w:rsidR="00EB72DB" w:rsidRPr="00F60059">
        <w:t>(1)</w:t>
      </w:r>
      <w:r w:rsidR="00943AA5" w:rsidRPr="00F60059">
        <w:t xml:space="preserve">.  L’historique législatif de la disposition confirme également que, pour ce qui est du rejet d’une plainte ayant fait l’objet d’une instance antérieure, le législateur a voulu conférer un pouvoir discrétionnaire étendu.  Le législateur voulait manifestement élargir </w:t>
      </w:r>
      <w:r w:rsidR="00EB72DB" w:rsidRPr="00F60059">
        <w:t xml:space="preserve">et non rétrécir </w:t>
      </w:r>
      <w:r w:rsidR="00943AA5" w:rsidRPr="00F60059">
        <w:t xml:space="preserve">l’éventail des facteurs qu’un tribunal doit prendre </w:t>
      </w:r>
      <w:r w:rsidRPr="00F60059">
        <w:t>en compte.</w:t>
      </w:r>
    </w:p>
    <w:p w:rsidR="00943AA5" w:rsidRPr="00F60059" w:rsidRDefault="001A7570" w:rsidP="00FC1290">
      <w:pPr>
        <w:pStyle w:val="SCCNormalDoubleSpacing"/>
        <w:spacing w:after="480"/>
      </w:pPr>
      <w:r w:rsidRPr="00F60059">
        <w:tab/>
      </w:r>
      <w:r w:rsidR="00943AA5" w:rsidRPr="00F60059">
        <w:rPr>
          <w:iCs/>
        </w:rPr>
        <w:t xml:space="preserve">La </w:t>
      </w:r>
      <w:r w:rsidR="00943AA5" w:rsidRPr="00F60059">
        <w:t>jurisprudence</w:t>
      </w:r>
      <w:r w:rsidR="00943AA5" w:rsidRPr="00F60059">
        <w:rPr>
          <w:iCs/>
        </w:rPr>
        <w:t xml:space="preserve"> de notre Cour reconnaît qu’en contexte de droit administratif, il convient d’appliquer avec souplesse les doctrines de </w:t>
      </w:r>
      <w:r w:rsidR="00EB72DB" w:rsidRPr="00F60059">
        <w:rPr>
          <w:iCs/>
        </w:rPr>
        <w:t xml:space="preserve">la </w:t>
      </w:r>
      <w:proofErr w:type="spellStart"/>
      <w:r w:rsidR="00943AA5" w:rsidRPr="00F60059">
        <w:rPr>
          <w:iCs/>
        </w:rPr>
        <w:t>common</w:t>
      </w:r>
      <w:proofErr w:type="spellEnd"/>
      <w:r w:rsidR="00943AA5" w:rsidRPr="00F60059">
        <w:rPr>
          <w:iCs/>
        </w:rPr>
        <w:t xml:space="preserve"> </w:t>
      </w:r>
      <w:proofErr w:type="spellStart"/>
      <w:r w:rsidR="00943AA5" w:rsidRPr="00F60059">
        <w:rPr>
          <w:iCs/>
        </w:rPr>
        <w:t>law</w:t>
      </w:r>
      <w:proofErr w:type="spellEnd"/>
      <w:r w:rsidR="00943AA5" w:rsidRPr="00F60059">
        <w:rPr>
          <w:iCs/>
        </w:rPr>
        <w:t xml:space="preserve"> relatives au caractère définitif des décisions afin de maintenir le nécessaire équilibre entre le caractère définitif et l’équité des décisions.  À cette fin, l’exercice du pouvoir discrétionnaire nécessite la prise en compte d’un large éventail de facteurs pertinents aux particularités du contexte administratif en cause et aux exigences à satisfaire pour que justice soit rendue dans les circonstances de chaque cas.  Le caractère définitif de la décision et l’obligation faite aux parties de recourir aux mécanismes de révision les plus appropriés sont certes des facteurs importants, mais ils ne sont ni les seuls, ni même les plus importants.</w:t>
      </w:r>
      <w:r w:rsidR="00FC0C61" w:rsidRPr="00F60059">
        <w:rPr>
          <w:iCs/>
        </w:rPr>
        <w:t xml:space="preserve"> </w:t>
      </w:r>
      <w:r w:rsidR="00EB72DB" w:rsidRPr="00F60059">
        <w:rPr>
          <w:iCs/>
        </w:rPr>
        <w:t xml:space="preserve"> </w:t>
      </w:r>
      <w:r w:rsidR="00943AA5" w:rsidRPr="00F60059">
        <w:rPr>
          <w:iCs/>
        </w:rPr>
        <w:t xml:space="preserve">Le contexte procédural complexe et changeant en cause en </w:t>
      </w:r>
      <w:r w:rsidR="00943AA5" w:rsidRPr="00F60059">
        <w:rPr>
          <w:iCs/>
        </w:rPr>
        <w:lastRenderedPageBreak/>
        <w:t xml:space="preserve">l’espèce illustre bien la nécessité du recours à ce pouvoir discrétionnaire </w:t>
      </w:r>
      <w:r w:rsidR="00943AA5" w:rsidRPr="00F60059">
        <w:t>nécessairement plus étendu</w:t>
      </w:r>
      <w:r w:rsidR="00943AA5" w:rsidRPr="00F60059">
        <w:rPr>
          <w:iCs/>
        </w:rPr>
        <w:t xml:space="preserve"> lorsqu’il s’agit d’appliquer les doctrines relatives au caractère définitif des décisions en contexte de droit administratif et montre qu’il n’est que sage d’appliquer avec beaucoup de souplesse, dans le contexte du droit administratif, les doctrines relatives au caractère définitif des décisions.  </w:t>
      </w:r>
      <w:r w:rsidR="00943AA5" w:rsidRPr="00F60059">
        <w:t>Le facteur le plus important</w:t>
      </w:r>
      <w:r w:rsidR="00EB72DB" w:rsidRPr="00F60059">
        <w:t xml:space="preserve"> consiste à déterminer si une</w:t>
      </w:r>
      <w:r w:rsidR="00943AA5" w:rsidRPr="00F60059">
        <w:t xml:space="preserve"> injustice peut résulter de l’attribution d’une portée définitive et exécutoire à l’instance antérieure.  En cas d’injustice substantielle ou de risque sérieux d’une telle injustice, les choix procéduraux malavisés du plaignant ne devraient généralement pas sonner le glas d’un examen au fond approprié de sa plainte.</w:t>
      </w:r>
    </w:p>
    <w:p w:rsidR="00943AA5" w:rsidRPr="00F60059" w:rsidRDefault="001A7570" w:rsidP="00FC1290">
      <w:pPr>
        <w:pStyle w:val="SCCNormalDoubleSpacing"/>
        <w:spacing w:after="480"/>
      </w:pPr>
      <w:r w:rsidRPr="00F60059">
        <w:tab/>
      </w:r>
      <w:r w:rsidR="00943AA5" w:rsidRPr="00F60059">
        <w:t>En l’espèce, en refusant de rejeter la plainte en application de l’</w:t>
      </w:r>
      <w:r w:rsidRPr="00F60059">
        <w:t>al. </w:t>
      </w:r>
      <w:r w:rsidR="00943AA5" w:rsidRPr="00F60059">
        <w:t>27(1)f), le Tribunal a rendu une décision manifestement déraisonnable</w:t>
      </w:r>
      <w:r w:rsidR="00943AA5" w:rsidRPr="00F60059">
        <w:rPr>
          <w:i/>
        </w:rPr>
        <w:t>.</w:t>
      </w:r>
      <w:r w:rsidR="00943AA5" w:rsidRPr="00F60059">
        <w:t xml:space="preserve"> </w:t>
      </w:r>
      <w:r w:rsidR="00E14776" w:rsidRPr="00F60059">
        <w:t xml:space="preserve"> </w:t>
      </w:r>
      <w:r w:rsidR="006D259A">
        <w:t xml:space="preserve">Certes, le </w:t>
      </w:r>
      <w:r w:rsidR="00943AA5" w:rsidRPr="00F60059">
        <w:t xml:space="preserve">Tribunal pouvait tenir compte des allégations relatives aux limites procédurales du recours devant l’agent de révision, </w:t>
      </w:r>
      <w:r w:rsidR="00EB72DB" w:rsidRPr="00F60059">
        <w:t>mais</w:t>
      </w:r>
      <w:r w:rsidR="00943AA5" w:rsidRPr="00F60059">
        <w:t xml:space="preserve"> il a commis une erreur justifiant l’annulation de sa décision en fondant cette dernière sur le prétendu manque d’indépendance de l’agent de révision et en faisant abstraction de la possibilité de recourir au contrôle judiciaire pour corriger tout vice procédur</w:t>
      </w:r>
      <w:r w:rsidRPr="00F60059">
        <w:t>al.</w:t>
      </w:r>
      <w:r w:rsidR="00E14776" w:rsidRPr="00F60059">
        <w:t xml:space="preserve"> </w:t>
      </w:r>
      <w:r w:rsidR="00943AA5" w:rsidRPr="00F60059">
        <w:t xml:space="preserve"> Plus fondamentalement encore, il n’a pas examiné s’il avait été statué sur le fond de la plainte, </w:t>
      </w:r>
      <w:r w:rsidR="00EB72DB" w:rsidRPr="00F60059">
        <w:t xml:space="preserve">omettant ainsi de prendre en considération </w:t>
      </w:r>
      <w:r w:rsidR="00943AA5" w:rsidRPr="00F60059">
        <w:t xml:space="preserve">une condition imposée par la Loi.  Il lui faut tenir compte d’éléments comme les questions soulevées dans l’instance antérieure et les questions de savoir si cette instance s’est déroulée de façon équitable, si le plaignant était bien représenté, si les principes applicables en matière de droits de la personne ont été examinés, si une </w:t>
      </w:r>
      <w:r w:rsidR="00943AA5" w:rsidRPr="00F60059">
        <w:lastRenderedPageBreak/>
        <w:t>réparation appropriée pouvait être accordée et si le choix du forum antérieur relevait du plaignant.  Cette évaluation globale et souple paraît être exactement la démarche que requiert l’</w:t>
      </w:r>
      <w:r w:rsidRPr="00F60059">
        <w:t>al. </w:t>
      </w:r>
      <w:r w:rsidR="00943AA5" w:rsidRPr="00F60059">
        <w:t xml:space="preserve">27(1)f). </w:t>
      </w:r>
      <w:r w:rsidR="00E14776" w:rsidRPr="00F60059">
        <w:t xml:space="preserve"> </w:t>
      </w:r>
      <w:r w:rsidR="00943AA5" w:rsidRPr="00F60059">
        <w:t xml:space="preserve">En outre, le Tribunal n’a pas pris en compte l’équité, fondamentale ou autre, de l’instance antérieure.  Tout cela a fait en sorte que le Tribunal n’a accordé aucun poids aux intérêts en jeu en matière de caractère définitif de la décision, et qu’il a largement fondé son analyse, plutôt, sur des facteurs non pertinents rattachés à l’existence des stricts éléments constitutifs de la </w:t>
      </w:r>
      <w:proofErr w:type="spellStart"/>
      <w:r w:rsidR="00943AA5" w:rsidRPr="00F60059">
        <w:t>préclusion</w:t>
      </w:r>
      <w:proofErr w:type="spellEnd"/>
      <w:r w:rsidR="00943AA5" w:rsidRPr="00F60059">
        <w:t xml:space="preserve"> fondée sur une question déjà tranchée. </w:t>
      </w:r>
    </w:p>
    <w:p w:rsidR="0078333B" w:rsidRPr="00F60059" w:rsidRDefault="0078333B" w:rsidP="00FC1290">
      <w:pPr>
        <w:pStyle w:val="SCCNormalDoubleSpacing"/>
        <w:spacing w:after="480"/>
      </w:pPr>
      <w:r w:rsidRPr="00F60059">
        <w:tab/>
        <w:t xml:space="preserve">Il y a lieu d’accueillir le pourvoi et de renvoyer au Tribunal, pour qu’il la réexamine, la demande de la </w:t>
      </w:r>
      <w:proofErr w:type="spellStart"/>
      <w:r w:rsidRPr="00F60059">
        <w:t>Workers</w:t>
      </w:r>
      <w:proofErr w:type="spellEnd"/>
      <w:r w:rsidRPr="00F60059">
        <w:t xml:space="preserve">’ Compensation </w:t>
      </w:r>
      <w:proofErr w:type="spellStart"/>
      <w:r w:rsidRPr="00F60059">
        <w:t>Board</w:t>
      </w:r>
      <w:proofErr w:type="spellEnd"/>
      <w:r w:rsidRPr="00F60059">
        <w:t xml:space="preserve"> présentée aux termes de l’al. 27(1)f).</w:t>
      </w:r>
    </w:p>
    <w:p w:rsidR="007E1C47" w:rsidRPr="00F60059" w:rsidRDefault="0043088E" w:rsidP="00E14776">
      <w:pPr>
        <w:pStyle w:val="SCCNormalDoubleSpacing"/>
        <w:keepNext/>
        <w:spacing w:after="720" w:line="240" w:lineRule="auto"/>
        <w:rPr>
          <w:b/>
        </w:rPr>
      </w:pPr>
      <w:r w:rsidRPr="00F60059">
        <w:rPr>
          <w:b/>
        </w:rPr>
        <w:t>Jurisprudence</w:t>
      </w:r>
    </w:p>
    <w:p w:rsidR="007834A8" w:rsidRPr="00F60059" w:rsidRDefault="00F310BE" w:rsidP="00E14776">
      <w:pPr>
        <w:pStyle w:val="SCCNormalDoubleSpacing"/>
        <w:keepNext/>
        <w:spacing w:after="720" w:line="240" w:lineRule="auto"/>
      </w:pPr>
      <w:r w:rsidRPr="00F60059">
        <w:t>Citée par la juge Abella</w:t>
      </w:r>
    </w:p>
    <w:p w:rsidR="002E6705" w:rsidRPr="00F60059" w:rsidRDefault="002E6705" w:rsidP="00E14776">
      <w:pPr>
        <w:pStyle w:val="SCCNormalDoubleSpacing"/>
        <w:spacing w:after="480"/>
      </w:pPr>
      <w:r w:rsidRPr="00F60059">
        <w:tab/>
      </w:r>
      <w:r w:rsidR="0043088E" w:rsidRPr="00F60059">
        <w:rPr>
          <w:b/>
        </w:rPr>
        <w:t>Arrêts mentionnés</w:t>
      </w:r>
      <w:r w:rsidR="001A7570" w:rsidRPr="00F60059">
        <w:rPr>
          <w:b/>
        </w:rPr>
        <w:t> :</w:t>
      </w:r>
      <w:r w:rsidR="00172A04" w:rsidRPr="00F60059">
        <w:t xml:space="preserve"> </w:t>
      </w:r>
      <w:proofErr w:type="spellStart"/>
      <w:r w:rsidR="00AF34E1" w:rsidRPr="00F60059">
        <w:rPr>
          <w:i/>
          <w:szCs w:val="24"/>
        </w:rPr>
        <w:t>Tranchemontagne</w:t>
      </w:r>
      <w:proofErr w:type="spellEnd"/>
      <w:r w:rsidR="00AF34E1" w:rsidRPr="00F60059">
        <w:rPr>
          <w:i/>
          <w:szCs w:val="24"/>
        </w:rPr>
        <w:t xml:space="preserve"> c. Ontario (Directeur du Programme ontarien de soutien aux personnes handicapées)</w:t>
      </w:r>
      <w:r w:rsidR="00AF34E1" w:rsidRPr="00F60059">
        <w:rPr>
          <w:szCs w:val="24"/>
        </w:rPr>
        <w:t xml:space="preserve">, 2006 CSC 14, [2006] 1 R.C.S. 513; </w:t>
      </w:r>
      <w:r w:rsidR="00AF34E1" w:rsidRPr="00F60059">
        <w:rPr>
          <w:i/>
          <w:szCs w:val="24"/>
        </w:rPr>
        <w:t>British Columbia (</w:t>
      </w:r>
      <w:proofErr w:type="spellStart"/>
      <w:r w:rsidR="00AF34E1" w:rsidRPr="00F60059">
        <w:rPr>
          <w:i/>
          <w:szCs w:val="24"/>
        </w:rPr>
        <w:t>Ministry</w:t>
      </w:r>
      <w:proofErr w:type="spellEnd"/>
      <w:r w:rsidR="00AF34E1" w:rsidRPr="00F60059">
        <w:rPr>
          <w:i/>
          <w:szCs w:val="24"/>
        </w:rPr>
        <w:t xml:space="preserve"> of </w:t>
      </w:r>
      <w:proofErr w:type="spellStart"/>
      <w:r w:rsidR="00AF34E1" w:rsidRPr="00F60059">
        <w:rPr>
          <w:i/>
          <w:szCs w:val="24"/>
        </w:rPr>
        <w:t>Competition</w:t>
      </w:r>
      <w:proofErr w:type="spellEnd"/>
      <w:r w:rsidR="00AF34E1" w:rsidRPr="00F60059">
        <w:rPr>
          <w:i/>
          <w:szCs w:val="24"/>
        </w:rPr>
        <w:t xml:space="preserve">, Science &amp; Enterprise) </w:t>
      </w:r>
      <w:r w:rsidR="00F860EB" w:rsidRPr="00F60059">
        <w:rPr>
          <w:i/>
          <w:szCs w:val="24"/>
        </w:rPr>
        <w:t>c</w:t>
      </w:r>
      <w:r w:rsidR="00AF34E1" w:rsidRPr="00F60059">
        <w:rPr>
          <w:i/>
          <w:szCs w:val="24"/>
        </w:rPr>
        <w:t xml:space="preserve">. </w:t>
      </w:r>
      <w:proofErr w:type="spellStart"/>
      <w:r w:rsidR="00AF34E1" w:rsidRPr="00F60059">
        <w:rPr>
          <w:i/>
          <w:szCs w:val="24"/>
        </w:rPr>
        <w:t>Matuszewski</w:t>
      </w:r>
      <w:proofErr w:type="spellEnd"/>
      <w:r w:rsidR="00AF34E1" w:rsidRPr="00F60059">
        <w:rPr>
          <w:szCs w:val="24"/>
        </w:rPr>
        <w:t xml:space="preserve">, 2008 BCSC 915, 82 </w:t>
      </w:r>
      <w:proofErr w:type="spellStart"/>
      <w:r w:rsidR="00AF34E1" w:rsidRPr="00F60059">
        <w:rPr>
          <w:szCs w:val="24"/>
        </w:rPr>
        <w:t>Admin</w:t>
      </w:r>
      <w:proofErr w:type="spellEnd"/>
      <w:r w:rsidR="00AF34E1" w:rsidRPr="00F60059">
        <w:rPr>
          <w:szCs w:val="24"/>
        </w:rPr>
        <w:t xml:space="preserve">. L.R. (4th) 308; </w:t>
      </w:r>
      <w:proofErr w:type="spellStart"/>
      <w:r w:rsidR="00AF34E1" w:rsidRPr="00F60059">
        <w:rPr>
          <w:i/>
          <w:szCs w:val="24"/>
        </w:rPr>
        <w:t>Danyluk</w:t>
      </w:r>
      <w:proofErr w:type="spellEnd"/>
      <w:r w:rsidR="00AF34E1" w:rsidRPr="00F60059">
        <w:rPr>
          <w:i/>
          <w:szCs w:val="24"/>
        </w:rPr>
        <w:t xml:space="preserve"> </w:t>
      </w:r>
      <w:r w:rsidR="00F860EB" w:rsidRPr="00F60059">
        <w:rPr>
          <w:i/>
          <w:szCs w:val="24"/>
        </w:rPr>
        <w:t>c</w:t>
      </w:r>
      <w:r w:rsidR="00AF34E1" w:rsidRPr="00F60059">
        <w:rPr>
          <w:i/>
          <w:szCs w:val="24"/>
        </w:rPr>
        <w:t>. Ainsworth Technologies Inc.</w:t>
      </w:r>
      <w:r w:rsidR="00AF34E1" w:rsidRPr="00F60059">
        <w:rPr>
          <w:szCs w:val="24"/>
        </w:rPr>
        <w:t xml:space="preserve">, 2001 </w:t>
      </w:r>
      <w:r w:rsidR="00F860EB" w:rsidRPr="00F60059">
        <w:rPr>
          <w:szCs w:val="24"/>
        </w:rPr>
        <w:t>C</w:t>
      </w:r>
      <w:r w:rsidR="00AF34E1" w:rsidRPr="00F60059">
        <w:rPr>
          <w:szCs w:val="24"/>
        </w:rPr>
        <w:t xml:space="preserve">SC 44, [2001] 2 </w:t>
      </w:r>
      <w:r w:rsidR="00F860EB" w:rsidRPr="00F60059">
        <w:rPr>
          <w:szCs w:val="24"/>
        </w:rPr>
        <w:t>R.C.</w:t>
      </w:r>
      <w:r w:rsidR="00AF34E1" w:rsidRPr="00F60059">
        <w:rPr>
          <w:szCs w:val="24"/>
        </w:rPr>
        <w:t xml:space="preserve">S. 460; </w:t>
      </w:r>
      <w:proofErr w:type="spellStart"/>
      <w:r w:rsidR="00AF34E1" w:rsidRPr="00F60059">
        <w:rPr>
          <w:i/>
          <w:szCs w:val="24"/>
        </w:rPr>
        <w:t>Workers</w:t>
      </w:r>
      <w:proofErr w:type="spellEnd"/>
      <w:r w:rsidR="00AF34E1" w:rsidRPr="00F60059">
        <w:rPr>
          <w:i/>
          <w:szCs w:val="24"/>
        </w:rPr>
        <w:t xml:space="preserve">’ Compensation </w:t>
      </w:r>
      <w:proofErr w:type="spellStart"/>
      <w:r w:rsidR="00AF34E1" w:rsidRPr="00F60059">
        <w:rPr>
          <w:i/>
          <w:szCs w:val="24"/>
        </w:rPr>
        <w:t>Appeal</w:t>
      </w:r>
      <w:proofErr w:type="spellEnd"/>
      <w:r w:rsidR="00AF34E1" w:rsidRPr="00F60059">
        <w:rPr>
          <w:i/>
          <w:szCs w:val="24"/>
        </w:rPr>
        <w:t xml:space="preserve"> Tribunal</w:t>
      </w:r>
      <w:r w:rsidR="00345203" w:rsidRPr="00F60059">
        <w:rPr>
          <w:i/>
          <w:szCs w:val="24"/>
        </w:rPr>
        <w:t xml:space="preserve"> (B.C.</w:t>
      </w:r>
      <w:r w:rsidR="00AF34E1" w:rsidRPr="00F60059">
        <w:rPr>
          <w:i/>
          <w:szCs w:val="24"/>
        </w:rPr>
        <w:t xml:space="preserve">) </w:t>
      </w:r>
      <w:r w:rsidR="00F860EB" w:rsidRPr="00F60059">
        <w:rPr>
          <w:i/>
          <w:szCs w:val="24"/>
        </w:rPr>
        <w:t>c</w:t>
      </w:r>
      <w:r w:rsidR="00AF34E1" w:rsidRPr="00F60059">
        <w:rPr>
          <w:i/>
          <w:szCs w:val="24"/>
        </w:rPr>
        <w:t>. Hill</w:t>
      </w:r>
      <w:r w:rsidR="00AF34E1" w:rsidRPr="00F60059">
        <w:rPr>
          <w:szCs w:val="24"/>
        </w:rPr>
        <w:t xml:space="preserve">, 2011 BCCA 49, 299 B.C.A.C. 129; </w:t>
      </w:r>
      <w:proofErr w:type="spellStart"/>
      <w:r w:rsidR="00AF34E1" w:rsidRPr="00F60059">
        <w:rPr>
          <w:i/>
          <w:szCs w:val="24"/>
        </w:rPr>
        <w:t>Berezoutskaia</w:t>
      </w:r>
      <w:proofErr w:type="spellEnd"/>
      <w:r w:rsidR="00AF34E1" w:rsidRPr="00F60059">
        <w:rPr>
          <w:i/>
          <w:szCs w:val="24"/>
        </w:rPr>
        <w:t xml:space="preserve"> </w:t>
      </w:r>
      <w:r w:rsidR="00F860EB" w:rsidRPr="00F60059">
        <w:rPr>
          <w:i/>
          <w:szCs w:val="24"/>
        </w:rPr>
        <w:t>c</w:t>
      </w:r>
      <w:r w:rsidR="00AF34E1" w:rsidRPr="00F60059">
        <w:rPr>
          <w:i/>
          <w:szCs w:val="24"/>
        </w:rPr>
        <w:t xml:space="preserve">. </w:t>
      </w:r>
      <w:proofErr w:type="spellStart"/>
      <w:r w:rsidR="00AF34E1" w:rsidRPr="00F60059">
        <w:rPr>
          <w:i/>
          <w:szCs w:val="24"/>
        </w:rPr>
        <w:lastRenderedPageBreak/>
        <w:t>Human</w:t>
      </w:r>
      <w:proofErr w:type="spellEnd"/>
      <w:r w:rsidR="00AF34E1" w:rsidRPr="00F60059">
        <w:rPr>
          <w:i/>
          <w:szCs w:val="24"/>
        </w:rPr>
        <w:t xml:space="preserve"> </w:t>
      </w:r>
      <w:proofErr w:type="spellStart"/>
      <w:r w:rsidR="00AF34E1" w:rsidRPr="00F60059">
        <w:rPr>
          <w:i/>
          <w:szCs w:val="24"/>
        </w:rPr>
        <w:t>Rights</w:t>
      </w:r>
      <w:proofErr w:type="spellEnd"/>
      <w:r w:rsidR="00AF34E1" w:rsidRPr="00F60059">
        <w:rPr>
          <w:i/>
          <w:szCs w:val="24"/>
        </w:rPr>
        <w:t xml:space="preserve"> Tribunal (B.C.)</w:t>
      </w:r>
      <w:r w:rsidR="00AF34E1" w:rsidRPr="00F60059">
        <w:rPr>
          <w:szCs w:val="24"/>
        </w:rPr>
        <w:t xml:space="preserve">, 2006 BCCA 95, 223 B.C.A.C. 71; </w:t>
      </w:r>
      <w:proofErr w:type="spellStart"/>
      <w:r w:rsidR="00AF34E1" w:rsidRPr="00F60059">
        <w:rPr>
          <w:i/>
          <w:szCs w:val="24"/>
        </w:rPr>
        <w:t>Hines</w:t>
      </w:r>
      <w:proofErr w:type="spellEnd"/>
      <w:r w:rsidR="00AF34E1" w:rsidRPr="00F60059">
        <w:rPr>
          <w:i/>
          <w:szCs w:val="24"/>
        </w:rPr>
        <w:t xml:space="preserve"> </w:t>
      </w:r>
      <w:r w:rsidR="00F860EB" w:rsidRPr="00F60059">
        <w:rPr>
          <w:i/>
          <w:szCs w:val="24"/>
        </w:rPr>
        <w:t>c</w:t>
      </w:r>
      <w:r w:rsidR="00AF34E1" w:rsidRPr="00F60059">
        <w:rPr>
          <w:i/>
          <w:szCs w:val="24"/>
        </w:rPr>
        <w:t xml:space="preserve">. </w:t>
      </w:r>
      <w:proofErr w:type="spellStart"/>
      <w:r w:rsidR="00AF34E1" w:rsidRPr="00F60059">
        <w:rPr>
          <w:i/>
          <w:szCs w:val="24"/>
        </w:rPr>
        <w:t>Canpar</w:t>
      </w:r>
      <w:proofErr w:type="spellEnd"/>
      <w:r w:rsidR="00AF34E1" w:rsidRPr="00F60059">
        <w:rPr>
          <w:i/>
          <w:szCs w:val="24"/>
        </w:rPr>
        <w:t xml:space="preserve"> Industries Ltd.</w:t>
      </w:r>
      <w:r w:rsidR="00AF34E1" w:rsidRPr="00F60059">
        <w:rPr>
          <w:szCs w:val="24"/>
        </w:rPr>
        <w:t xml:space="preserve">, 2006 BCSC 800, 55 B.C.L.R. (4th) 372; </w:t>
      </w:r>
      <w:r w:rsidR="00AF34E1" w:rsidRPr="00F60059">
        <w:rPr>
          <w:i/>
          <w:szCs w:val="24"/>
        </w:rPr>
        <w:t xml:space="preserve">Boucher </w:t>
      </w:r>
      <w:r w:rsidR="00F860EB" w:rsidRPr="00F60059">
        <w:rPr>
          <w:i/>
          <w:szCs w:val="24"/>
        </w:rPr>
        <w:t>c</w:t>
      </w:r>
      <w:r w:rsidR="00AF34E1" w:rsidRPr="00F60059">
        <w:rPr>
          <w:i/>
          <w:szCs w:val="24"/>
        </w:rPr>
        <w:t xml:space="preserve">. </w:t>
      </w:r>
      <w:proofErr w:type="spellStart"/>
      <w:r w:rsidR="00AF34E1" w:rsidRPr="00F60059">
        <w:rPr>
          <w:i/>
          <w:szCs w:val="24"/>
        </w:rPr>
        <w:t>Stelco</w:t>
      </w:r>
      <w:proofErr w:type="spellEnd"/>
      <w:r w:rsidR="00AF34E1" w:rsidRPr="00F60059">
        <w:rPr>
          <w:i/>
          <w:szCs w:val="24"/>
        </w:rPr>
        <w:t xml:space="preserve"> Inc.</w:t>
      </w:r>
      <w:r w:rsidR="00AF34E1" w:rsidRPr="00F60059">
        <w:rPr>
          <w:szCs w:val="24"/>
        </w:rPr>
        <w:t xml:space="preserve">, 2005 </w:t>
      </w:r>
      <w:r w:rsidR="00F860EB" w:rsidRPr="00F60059">
        <w:rPr>
          <w:szCs w:val="24"/>
        </w:rPr>
        <w:t>C</w:t>
      </w:r>
      <w:r w:rsidR="00AF34E1" w:rsidRPr="00F60059">
        <w:rPr>
          <w:szCs w:val="24"/>
        </w:rPr>
        <w:t xml:space="preserve">SC 64, [2005] 3 </w:t>
      </w:r>
      <w:r w:rsidR="00F860EB" w:rsidRPr="00F60059">
        <w:rPr>
          <w:szCs w:val="24"/>
        </w:rPr>
        <w:t>R.C.</w:t>
      </w:r>
      <w:r w:rsidR="00AF34E1" w:rsidRPr="00F60059">
        <w:rPr>
          <w:szCs w:val="24"/>
        </w:rPr>
        <w:t xml:space="preserve">S. 279; </w:t>
      </w:r>
      <w:proofErr w:type="spellStart"/>
      <w:r w:rsidR="00AF34E1" w:rsidRPr="00F60059">
        <w:rPr>
          <w:i/>
          <w:szCs w:val="24"/>
        </w:rPr>
        <w:t>Rocois</w:t>
      </w:r>
      <w:proofErr w:type="spellEnd"/>
      <w:r w:rsidR="00AF34E1" w:rsidRPr="00F60059">
        <w:rPr>
          <w:i/>
          <w:szCs w:val="24"/>
        </w:rPr>
        <w:t xml:space="preserve"> Construction Inc. </w:t>
      </w:r>
      <w:r w:rsidR="00F860EB" w:rsidRPr="00F60059">
        <w:rPr>
          <w:i/>
          <w:szCs w:val="24"/>
        </w:rPr>
        <w:t>c</w:t>
      </w:r>
      <w:r w:rsidR="00AF34E1" w:rsidRPr="00F60059">
        <w:rPr>
          <w:i/>
          <w:szCs w:val="24"/>
        </w:rPr>
        <w:t xml:space="preserve">. Québec </w:t>
      </w:r>
      <w:proofErr w:type="spellStart"/>
      <w:r w:rsidR="00AF34E1" w:rsidRPr="00F60059">
        <w:rPr>
          <w:i/>
          <w:szCs w:val="24"/>
        </w:rPr>
        <w:t>Ready</w:t>
      </w:r>
      <w:proofErr w:type="spellEnd"/>
      <w:r w:rsidR="00AF34E1" w:rsidRPr="00F60059">
        <w:rPr>
          <w:i/>
          <w:szCs w:val="24"/>
        </w:rPr>
        <w:t xml:space="preserve"> Mix Inc.</w:t>
      </w:r>
      <w:r w:rsidR="00AF34E1" w:rsidRPr="00F60059">
        <w:rPr>
          <w:szCs w:val="24"/>
        </w:rPr>
        <w:t xml:space="preserve">, [1990] 2 </w:t>
      </w:r>
      <w:r w:rsidR="00F860EB" w:rsidRPr="00F60059">
        <w:rPr>
          <w:szCs w:val="24"/>
        </w:rPr>
        <w:t>R.C.</w:t>
      </w:r>
      <w:r w:rsidR="00AF34E1" w:rsidRPr="00F60059">
        <w:rPr>
          <w:szCs w:val="24"/>
        </w:rPr>
        <w:t xml:space="preserve">S. 440; </w:t>
      </w:r>
      <w:r w:rsidR="00345203" w:rsidRPr="00F60059">
        <w:rPr>
          <w:i/>
          <w:szCs w:val="24"/>
        </w:rPr>
        <w:t xml:space="preserve">Angle c. Ministre du Revenu </w:t>
      </w:r>
      <w:r w:rsidR="00A72B14">
        <w:rPr>
          <w:i/>
          <w:szCs w:val="24"/>
        </w:rPr>
        <w:t>N</w:t>
      </w:r>
      <w:r w:rsidR="00AF34E1" w:rsidRPr="00F60059">
        <w:rPr>
          <w:i/>
          <w:szCs w:val="24"/>
        </w:rPr>
        <w:t>ational</w:t>
      </w:r>
      <w:r w:rsidR="00AF34E1" w:rsidRPr="00F60059">
        <w:rPr>
          <w:szCs w:val="24"/>
        </w:rPr>
        <w:t xml:space="preserve">, [1975] 2 </w:t>
      </w:r>
      <w:r w:rsidR="00F860EB" w:rsidRPr="00F60059">
        <w:rPr>
          <w:szCs w:val="24"/>
        </w:rPr>
        <w:t>R.C.</w:t>
      </w:r>
      <w:r w:rsidR="00AF34E1" w:rsidRPr="00F60059">
        <w:rPr>
          <w:szCs w:val="24"/>
        </w:rPr>
        <w:t>S. 248;</w:t>
      </w:r>
      <w:r w:rsidR="00F860EB" w:rsidRPr="00F60059">
        <w:rPr>
          <w:szCs w:val="24"/>
        </w:rPr>
        <w:t xml:space="preserve"> </w:t>
      </w:r>
      <w:r w:rsidR="00F860EB" w:rsidRPr="00F60059">
        <w:rPr>
          <w:i/>
          <w:szCs w:val="24"/>
        </w:rPr>
        <w:t xml:space="preserve">Canada (Procureur général) c. </w:t>
      </w:r>
      <w:proofErr w:type="spellStart"/>
      <w:r w:rsidR="00F860EB" w:rsidRPr="00F60059">
        <w:rPr>
          <w:i/>
          <w:szCs w:val="24"/>
        </w:rPr>
        <w:t>TeleZone</w:t>
      </w:r>
      <w:proofErr w:type="spellEnd"/>
      <w:r w:rsidR="00F860EB" w:rsidRPr="00F60059">
        <w:rPr>
          <w:i/>
          <w:szCs w:val="24"/>
        </w:rPr>
        <w:t xml:space="preserve"> Inc</w:t>
      </w:r>
      <w:r w:rsidR="00F860EB" w:rsidRPr="00F60059">
        <w:rPr>
          <w:szCs w:val="24"/>
        </w:rPr>
        <w:t xml:space="preserve">., 2010 CSC 62, [2010] 3 R.C.S. 585; </w:t>
      </w:r>
      <w:r w:rsidR="00F860EB" w:rsidRPr="00F60059">
        <w:rPr>
          <w:i/>
          <w:iCs/>
          <w:szCs w:val="24"/>
        </w:rPr>
        <w:t xml:space="preserve">Garland c. </w:t>
      </w:r>
      <w:proofErr w:type="spellStart"/>
      <w:r w:rsidR="00F860EB" w:rsidRPr="00F60059">
        <w:rPr>
          <w:i/>
          <w:iCs/>
          <w:szCs w:val="24"/>
        </w:rPr>
        <w:t>Consumers</w:t>
      </w:r>
      <w:proofErr w:type="spellEnd"/>
      <w:r w:rsidR="00F860EB" w:rsidRPr="00F60059">
        <w:rPr>
          <w:i/>
          <w:iCs/>
          <w:szCs w:val="24"/>
        </w:rPr>
        <w:t xml:space="preserve">’ </w:t>
      </w:r>
      <w:proofErr w:type="spellStart"/>
      <w:r w:rsidR="00F860EB" w:rsidRPr="00F60059">
        <w:rPr>
          <w:i/>
          <w:iCs/>
          <w:szCs w:val="24"/>
        </w:rPr>
        <w:t>Gas</w:t>
      </w:r>
      <w:proofErr w:type="spellEnd"/>
      <w:r w:rsidR="00F860EB" w:rsidRPr="00F60059">
        <w:rPr>
          <w:i/>
          <w:iCs/>
          <w:szCs w:val="24"/>
        </w:rPr>
        <w:t xml:space="preserve"> Co</w:t>
      </w:r>
      <w:r w:rsidR="00F860EB" w:rsidRPr="00F60059">
        <w:rPr>
          <w:szCs w:val="24"/>
        </w:rPr>
        <w:t xml:space="preserve">., 2004 CSC 25, [2004] 1 R.C.S. 629; </w:t>
      </w:r>
      <w:r w:rsidR="00F860EB" w:rsidRPr="00F60059">
        <w:rPr>
          <w:i/>
          <w:szCs w:val="24"/>
        </w:rPr>
        <w:t>Toronto (Ville) c. S.C.F.P., section locale 79</w:t>
      </w:r>
      <w:r w:rsidR="00F860EB" w:rsidRPr="00F60059">
        <w:rPr>
          <w:szCs w:val="24"/>
        </w:rPr>
        <w:t xml:space="preserve">, 2003 CSC 63, [2003] 3 R.C.S. 77; </w:t>
      </w:r>
      <w:r w:rsidR="00F860EB" w:rsidRPr="00F60059">
        <w:rPr>
          <w:i/>
          <w:szCs w:val="24"/>
        </w:rPr>
        <w:t xml:space="preserve">R. c. </w:t>
      </w:r>
      <w:proofErr w:type="spellStart"/>
      <w:r w:rsidR="00F860EB" w:rsidRPr="00F60059">
        <w:rPr>
          <w:i/>
          <w:szCs w:val="24"/>
        </w:rPr>
        <w:t>Mahalingan</w:t>
      </w:r>
      <w:proofErr w:type="spellEnd"/>
      <w:r w:rsidR="00F860EB" w:rsidRPr="00F60059">
        <w:rPr>
          <w:szCs w:val="24"/>
        </w:rPr>
        <w:t xml:space="preserve">, 2008 CSC 63, [2008] 3 R.C.S. 316; </w:t>
      </w:r>
      <w:proofErr w:type="spellStart"/>
      <w:r w:rsidR="00F860EB" w:rsidRPr="00F60059">
        <w:rPr>
          <w:i/>
          <w:szCs w:val="24"/>
        </w:rPr>
        <w:t>Rasanen</w:t>
      </w:r>
      <w:proofErr w:type="spellEnd"/>
      <w:r w:rsidR="00F860EB" w:rsidRPr="00F60059">
        <w:rPr>
          <w:i/>
          <w:szCs w:val="24"/>
        </w:rPr>
        <w:t xml:space="preserve"> c. </w:t>
      </w:r>
      <w:proofErr w:type="spellStart"/>
      <w:r w:rsidR="00F860EB" w:rsidRPr="00F60059">
        <w:rPr>
          <w:i/>
          <w:szCs w:val="24"/>
        </w:rPr>
        <w:t>Rosemount</w:t>
      </w:r>
      <w:proofErr w:type="spellEnd"/>
      <w:r w:rsidR="00F860EB" w:rsidRPr="00F60059">
        <w:rPr>
          <w:i/>
          <w:szCs w:val="24"/>
        </w:rPr>
        <w:t xml:space="preserve"> Instruments Ltd.</w:t>
      </w:r>
      <w:r w:rsidR="00F860EB" w:rsidRPr="00F60059">
        <w:rPr>
          <w:szCs w:val="24"/>
        </w:rPr>
        <w:t xml:space="preserve"> (1994), 112 D.L.R. (4th) 683; </w:t>
      </w:r>
      <w:proofErr w:type="spellStart"/>
      <w:r w:rsidR="00F860EB" w:rsidRPr="00F60059">
        <w:rPr>
          <w:i/>
          <w:szCs w:val="24"/>
        </w:rPr>
        <w:t>Nouvelle</w:t>
      </w:r>
      <w:r w:rsidR="001A7570" w:rsidRPr="00F60059">
        <w:rPr>
          <w:i/>
          <w:szCs w:val="24"/>
        </w:rPr>
        <w:noBreakHyphen/>
      </w:r>
      <w:r w:rsidR="00F860EB" w:rsidRPr="00F60059">
        <w:rPr>
          <w:i/>
          <w:szCs w:val="24"/>
        </w:rPr>
        <w:t>Écosse</w:t>
      </w:r>
      <w:proofErr w:type="spellEnd"/>
      <w:r w:rsidR="00F860EB" w:rsidRPr="00F60059">
        <w:rPr>
          <w:i/>
          <w:szCs w:val="24"/>
        </w:rPr>
        <w:t xml:space="preserve"> (</w:t>
      </w:r>
      <w:proofErr w:type="spellStart"/>
      <w:r w:rsidR="00F860EB" w:rsidRPr="00F60059">
        <w:rPr>
          <w:i/>
          <w:szCs w:val="24"/>
        </w:rPr>
        <w:t>Workers</w:t>
      </w:r>
      <w:proofErr w:type="spellEnd"/>
      <w:r w:rsidR="00F860EB" w:rsidRPr="00F60059">
        <w:rPr>
          <w:i/>
          <w:szCs w:val="24"/>
        </w:rPr>
        <w:t xml:space="preserve">’ Compensation </w:t>
      </w:r>
      <w:proofErr w:type="spellStart"/>
      <w:r w:rsidR="00F860EB" w:rsidRPr="00F60059">
        <w:rPr>
          <w:i/>
          <w:szCs w:val="24"/>
        </w:rPr>
        <w:t>Board</w:t>
      </w:r>
      <w:proofErr w:type="spellEnd"/>
      <w:r w:rsidR="00F860EB" w:rsidRPr="00F60059">
        <w:rPr>
          <w:i/>
          <w:szCs w:val="24"/>
        </w:rPr>
        <w:t>) c. Martin</w:t>
      </w:r>
      <w:r w:rsidR="00F860EB" w:rsidRPr="00F60059">
        <w:rPr>
          <w:szCs w:val="24"/>
        </w:rPr>
        <w:t xml:space="preserve">, 2003 CSC 54, [2003] 2 R.C.S. 504; </w:t>
      </w:r>
      <w:r w:rsidR="00516B42" w:rsidRPr="00F60059">
        <w:rPr>
          <w:i/>
          <w:szCs w:val="24"/>
        </w:rPr>
        <w:t>Co</w:t>
      </w:r>
      <w:r w:rsidR="00F860EB" w:rsidRPr="00F60059">
        <w:rPr>
          <w:i/>
          <w:szCs w:val="24"/>
        </w:rPr>
        <w:t>n</w:t>
      </w:r>
      <w:r w:rsidR="00516B42" w:rsidRPr="00F60059">
        <w:rPr>
          <w:i/>
          <w:szCs w:val="24"/>
        </w:rPr>
        <w:t>seil</w:t>
      </w:r>
      <w:r w:rsidR="00F860EB" w:rsidRPr="00F60059">
        <w:rPr>
          <w:i/>
          <w:szCs w:val="24"/>
        </w:rPr>
        <w:t xml:space="preserve"> </w:t>
      </w:r>
      <w:r w:rsidR="00516B42" w:rsidRPr="00F60059">
        <w:rPr>
          <w:i/>
          <w:szCs w:val="24"/>
        </w:rPr>
        <w:t>des</w:t>
      </w:r>
      <w:r w:rsidR="00F860EB" w:rsidRPr="00F60059">
        <w:rPr>
          <w:i/>
          <w:szCs w:val="24"/>
        </w:rPr>
        <w:t xml:space="preserve"> Canadi</w:t>
      </w:r>
      <w:r w:rsidR="00516B42" w:rsidRPr="00F60059">
        <w:rPr>
          <w:i/>
          <w:szCs w:val="24"/>
        </w:rPr>
        <w:t>e</w:t>
      </w:r>
      <w:r w:rsidR="00F860EB" w:rsidRPr="00F60059">
        <w:rPr>
          <w:i/>
          <w:szCs w:val="24"/>
        </w:rPr>
        <w:t xml:space="preserve">ns </w:t>
      </w:r>
      <w:r w:rsidR="00516B42" w:rsidRPr="00F60059">
        <w:rPr>
          <w:i/>
          <w:szCs w:val="24"/>
        </w:rPr>
        <w:t>avec déficiences</w:t>
      </w:r>
      <w:r w:rsidR="00F860EB" w:rsidRPr="00F60059">
        <w:rPr>
          <w:i/>
          <w:szCs w:val="24"/>
        </w:rPr>
        <w:t xml:space="preserve"> </w:t>
      </w:r>
      <w:r w:rsidR="00516B42" w:rsidRPr="00F60059">
        <w:rPr>
          <w:i/>
          <w:szCs w:val="24"/>
        </w:rPr>
        <w:t>c</w:t>
      </w:r>
      <w:r w:rsidR="00F860EB" w:rsidRPr="00F60059">
        <w:rPr>
          <w:i/>
          <w:iCs/>
          <w:szCs w:val="24"/>
        </w:rPr>
        <w:t xml:space="preserve">. </w:t>
      </w:r>
      <w:r w:rsidR="00F860EB" w:rsidRPr="00F60059">
        <w:rPr>
          <w:i/>
          <w:szCs w:val="24"/>
        </w:rPr>
        <w:t>VIA Rail Canada Inc.</w:t>
      </w:r>
      <w:r w:rsidR="00F860EB" w:rsidRPr="00F60059">
        <w:rPr>
          <w:szCs w:val="24"/>
        </w:rPr>
        <w:t xml:space="preserve">, 2007 </w:t>
      </w:r>
      <w:r w:rsidR="00516B42" w:rsidRPr="00F60059">
        <w:rPr>
          <w:szCs w:val="24"/>
        </w:rPr>
        <w:t>C</w:t>
      </w:r>
      <w:r w:rsidR="00F860EB" w:rsidRPr="00F60059">
        <w:rPr>
          <w:szCs w:val="24"/>
        </w:rPr>
        <w:t xml:space="preserve">SC 15, [2007] 1 </w:t>
      </w:r>
      <w:r w:rsidR="00516B42" w:rsidRPr="00F60059">
        <w:rPr>
          <w:szCs w:val="24"/>
        </w:rPr>
        <w:t>R.C.</w:t>
      </w:r>
      <w:r w:rsidR="00F860EB" w:rsidRPr="00F60059">
        <w:rPr>
          <w:szCs w:val="24"/>
        </w:rPr>
        <w:t>S. 650.</w:t>
      </w:r>
    </w:p>
    <w:p w:rsidR="00F310BE" w:rsidRPr="00F60059" w:rsidRDefault="00F310BE" w:rsidP="00E14776">
      <w:pPr>
        <w:pStyle w:val="SCCNormalDoubleSpacing"/>
        <w:keepNext/>
        <w:spacing w:after="720" w:line="240" w:lineRule="auto"/>
        <w:rPr>
          <w:szCs w:val="24"/>
        </w:rPr>
      </w:pPr>
      <w:r w:rsidRPr="00F60059">
        <w:rPr>
          <w:szCs w:val="24"/>
        </w:rPr>
        <w:t>Citée par le juge Cromwell</w:t>
      </w:r>
    </w:p>
    <w:p w:rsidR="00F310BE" w:rsidRPr="00F60059" w:rsidRDefault="00F310BE" w:rsidP="00E14776">
      <w:pPr>
        <w:pStyle w:val="SCCNormalDoubleSpacing"/>
        <w:spacing w:after="480"/>
        <w:rPr>
          <w:lang w:val="en-CA"/>
        </w:rPr>
      </w:pPr>
      <w:r w:rsidRPr="00F60059">
        <w:rPr>
          <w:szCs w:val="24"/>
        </w:rPr>
        <w:tab/>
      </w:r>
      <w:r w:rsidRPr="00F60059">
        <w:rPr>
          <w:b/>
        </w:rPr>
        <w:t>Arrêts mentionnés</w:t>
      </w:r>
      <w:r w:rsidR="001A7570" w:rsidRPr="00F60059">
        <w:rPr>
          <w:b/>
        </w:rPr>
        <w:t> :</w:t>
      </w:r>
      <w:r w:rsidRPr="00F60059">
        <w:t xml:space="preserve"> </w:t>
      </w:r>
      <w:proofErr w:type="spellStart"/>
      <w:r w:rsidR="00230432" w:rsidRPr="00F60059">
        <w:rPr>
          <w:i/>
          <w:szCs w:val="24"/>
        </w:rPr>
        <w:t>Danyluk</w:t>
      </w:r>
      <w:proofErr w:type="spellEnd"/>
      <w:r w:rsidR="00230432" w:rsidRPr="00F60059">
        <w:rPr>
          <w:i/>
          <w:szCs w:val="24"/>
        </w:rPr>
        <w:t xml:space="preserve"> c. Ainsworth Technologies Inc.</w:t>
      </w:r>
      <w:r w:rsidR="00230432" w:rsidRPr="00F60059">
        <w:rPr>
          <w:szCs w:val="24"/>
        </w:rPr>
        <w:t xml:space="preserve">, 2001 CSC 44, [2001] 2 R.C.S. 460; </w:t>
      </w:r>
      <w:r w:rsidR="00FA7838" w:rsidRPr="00F60059">
        <w:rPr>
          <w:i/>
          <w:szCs w:val="24"/>
        </w:rPr>
        <w:t>Toronto (Ville) c. S.C.F.P., section locale 79</w:t>
      </w:r>
      <w:r w:rsidR="00FA7838" w:rsidRPr="00F60059">
        <w:rPr>
          <w:szCs w:val="24"/>
        </w:rPr>
        <w:t xml:space="preserve">, 2003 CSC 63, [2003] 3 R.C.S. 77; </w:t>
      </w:r>
      <w:r w:rsidRPr="00F60059">
        <w:rPr>
          <w:i/>
          <w:iCs/>
          <w:szCs w:val="24"/>
        </w:rPr>
        <w:t>British Columbia (</w:t>
      </w:r>
      <w:proofErr w:type="spellStart"/>
      <w:r w:rsidRPr="00F60059">
        <w:rPr>
          <w:i/>
          <w:iCs/>
          <w:szCs w:val="24"/>
        </w:rPr>
        <w:t>Minister</w:t>
      </w:r>
      <w:proofErr w:type="spellEnd"/>
      <w:r w:rsidRPr="00F60059">
        <w:rPr>
          <w:i/>
          <w:iCs/>
          <w:szCs w:val="24"/>
        </w:rPr>
        <w:t xml:space="preserve"> of </w:t>
      </w:r>
      <w:proofErr w:type="spellStart"/>
      <w:r w:rsidRPr="00F60059">
        <w:rPr>
          <w:i/>
          <w:iCs/>
          <w:szCs w:val="24"/>
        </w:rPr>
        <w:t>Forests</w:t>
      </w:r>
      <w:proofErr w:type="spellEnd"/>
      <w:r w:rsidRPr="00F60059">
        <w:rPr>
          <w:i/>
          <w:iCs/>
          <w:szCs w:val="24"/>
        </w:rPr>
        <w:t xml:space="preserve">) </w:t>
      </w:r>
      <w:r w:rsidR="00230432" w:rsidRPr="00F60059">
        <w:rPr>
          <w:i/>
          <w:iCs/>
          <w:szCs w:val="24"/>
        </w:rPr>
        <w:t>c</w:t>
      </w:r>
      <w:r w:rsidRPr="00F60059">
        <w:rPr>
          <w:i/>
          <w:iCs/>
          <w:szCs w:val="24"/>
        </w:rPr>
        <w:t xml:space="preserve">. </w:t>
      </w:r>
      <w:proofErr w:type="spellStart"/>
      <w:r w:rsidRPr="00F60059">
        <w:rPr>
          <w:i/>
          <w:iCs/>
          <w:szCs w:val="24"/>
        </w:rPr>
        <w:t>Bugbusters</w:t>
      </w:r>
      <w:proofErr w:type="spellEnd"/>
      <w:r w:rsidRPr="00F60059">
        <w:rPr>
          <w:i/>
          <w:iCs/>
          <w:szCs w:val="24"/>
        </w:rPr>
        <w:t xml:space="preserve"> Pest Management Inc.</w:t>
      </w:r>
      <w:r w:rsidRPr="00F60059">
        <w:rPr>
          <w:szCs w:val="24"/>
        </w:rPr>
        <w:t xml:space="preserve"> (1998), 50 B.C.L.R. (3d) 1; </w:t>
      </w:r>
      <w:proofErr w:type="spellStart"/>
      <w:r w:rsidR="00230432" w:rsidRPr="00F60059">
        <w:rPr>
          <w:i/>
          <w:szCs w:val="24"/>
        </w:rPr>
        <w:t>Tranchemontagne</w:t>
      </w:r>
      <w:proofErr w:type="spellEnd"/>
      <w:r w:rsidR="00230432" w:rsidRPr="00F60059">
        <w:rPr>
          <w:i/>
          <w:szCs w:val="24"/>
        </w:rPr>
        <w:t xml:space="preserve"> c. Ontario (Directeur du Programme ontarien de soutien aux personnes handicapées)</w:t>
      </w:r>
      <w:r w:rsidR="00230432" w:rsidRPr="00F60059">
        <w:rPr>
          <w:szCs w:val="24"/>
        </w:rPr>
        <w:t xml:space="preserve">, 2006 CSC 14, [2006] 1 R.C.S. 513; </w:t>
      </w:r>
      <w:r w:rsidRPr="00F60059">
        <w:rPr>
          <w:i/>
          <w:iCs/>
          <w:szCs w:val="24"/>
        </w:rPr>
        <w:t xml:space="preserve">Bell </w:t>
      </w:r>
      <w:proofErr w:type="spellStart"/>
      <w:r w:rsidRPr="00F60059">
        <w:rPr>
          <w:i/>
          <w:iCs/>
          <w:szCs w:val="24"/>
        </w:rPr>
        <w:t>ExpressVu</w:t>
      </w:r>
      <w:proofErr w:type="spellEnd"/>
      <w:r w:rsidRPr="00F60059">
        <w:rPr>
          <w:i/>
          <w:iCs/>
          <w:szCs w:val="24"/>
        </w:rPr>
        <w:t xml:space="preserve"> Limited </w:t>
      </w:r>
      <w:proofErr w:type="spellStart"/>
      <w:r w:rsidRPr="00F60059">
        <w:rPr>
          <w:i/>
          <w:iCs/>
          <w:szCs w:val="24"/>
        </w:rPr>
        <w:t>Partnership</w:t>
      </w:r>
      <w:proofErr w:type="spellEnd"/>
      <w:r w:rsidRPr="00F60059">
        <w:rPr>
          <w:i/>
          <w:iCs/>
          <w:szCs w:val="24"/>
        </w:rPr>
        <w:t xml:space="preserve"> </w:t>
      </w:r>
      <w:r w:rsidR="00230432" w:rsidRPr="00F60059">
        <w:rPr>
          <w:i/>
          <w:iCs/>
          <w:szCs w:val="24"/>
        </w:rPr>
        <w:t>c</w:t>
      </w:r>
      <w:r w:rsidRPr="00F60059">
        <w:rPr>
          <w:i/>
          <w:iCs/>
          <w:szCs w:val="24"/>
        </w:rPr>
        <w:t>. Rex</w:t>
      </w:r>
      <w:r w:rsidRPr="00F60059">
        <w:rPr>
          <w:iCs/>
          <w:szCs w:val="24"/>
        </w:rPr>
        <w:t xml:space="preserve">, 2002 </w:t>
      </w:r>
      <w:r w:rsidR="00230432" w:rsidRPr="00F60059">
        <w:rPr>
          <w:iCs/>
          <w:szCs w:val="24"/>
        </w:rPr>
        <w:t>C</w:t>
      </w:r>
      <w:r w:rsidRPr="00F60059">
        <w:rPr>
          <w:iCs/>
          <w:szCs w:val="24"/>
        </w:rPr>
        <w:t xml:space="preserve">SC 42, [2002] 2 </w:t>
      </w:r>
      <w:r w:rsidR="00230432" w:rsidRPr="00F60059">
        <w:rPr>
          <w:iCs/>
          <w:szCs w:val="24"/>
        </w:rPr>
        <w:t>R.C.</w:t>
      </w:r>
      <w:r w:rsidRPr="00F60059">
        <w:rPr>
          <w:iCs/>
          <w:szCs w:val="24"/>
        </w:rPr>
        <w:t xml:space="preserve">S. 559; </w:t>
      </w:r>
      <w:proofErr w:type="spellStart"/>
      <w:r w:rsidRPr="00F60059">
        <w:rPr>
          <w:i/>
          <w:iCs/>
          <w:szCs w:val="24"/>
        </w:rPr>
        <w:t>Rizzo</w:t>
      </w:r>
      <w:proofErr w:type="spellEnd"/>
      <w:r w:rsidRPr="00F60059">
        <w:rPr>
          <w:i/>
          <w:iCs/>
          <w:szCs w:val="24"/>
        </w:rPr>
        <w:t xml:space="preserve"> &amp; </w:t>
      </w:r>
      <w:proofErr w:type="spellStart"/>
      <w:r w:rsidRPr="00F60059">
        <w:rPr>
          <w:i/>
          <w:iCs/>
          <w:szCs w:val="24"/>
        </w:rPr>
        <w:t>Rizzo</w:t>
      </w:r>
      <w:proofErr w:type="spellEnd"/>
      <w:r w:rsidRPr="00F60059">
        <w:rPr>
          <w:i/>
          <w:iCs/>
          <w:szCs w:val="24"/>
        </w:rPr>
        <w:t xml:space="preserve"> </w:t>
      </w:r>
      <w:proofErr w:type="spellStart"/>
      <w:r w:rsidRPr="00F60059">
        <w:rPr>
          <w:i/>
          <w:iCs/>
          <w:szCs w:val="24"/>
        </w:rPr>
        <w:t>Shoes</w:t>
      </w:r>
      <w:proofErr w:type="spellEnd"/>
      <w:r w:rsidRPr="00F60059">
        <w:rPr>
          <w:i/>
          <w:iCs/>
          <w:szCs w:val="24"/>
        </w:rPr>
        <w:t xml:space="preserve"> Ltd. </w:t>
      </w:r>
      <w:r w:rsidRPr="00F60059">
        <w:rPr>
          <w:i/>
          <w:iCs/>
          <w:szCs w:val="24"/>
          <w:lang w:val="en-CA"/>
        </w:rPr>
        <w:t>(Re)</w:t>
      </w:r>
      <w:r w:rsidRPr="00F60059">
        <w:rPr>
          <w:iCs/>
          <w:szCs w:val="24"/>
          <w:lang w:val="en-CA"/>
        </w:rPr>
        <w:t xml:space="preserve">, [1998] 1 </w:t>
      </w:r>
      <w:r w:rsidR="00230432" w:rsidRPr="00F60059">
        <w:rPr>
          <w:iCs/>
          <w:szCs w:val="24"/>
          <w:lang w:val="en-CA"/>
        </w:rPr>
        <w:t>R.C.</w:t>
      </w:r>
      <w:r w:rsidRPr="00F60059">
        <w:rPr>
          <w:iCs/>
          <w:szCs w:val="24"/>
          <w:lang w:val="en-CA"/>
        </w:rPr>
        <w:t xml:space="preserve">S. 27; </w:t>
      </w:r>
      <w:r w:rsidRPr="00F60059">
        <w:rPr>
          <w:i/>
          <w:szCs w:val="24"/>
          <w:lang w:val="en-CA"/>
        </w:rPr>
        <w:t xml:space="preserve">Becker </w:t>
      </w:r>
      <w:r w:rsidR="00230432" w:rsidRPr="00F60059">
        <w:rPr>
          <w:i/>
          <w:szCs w:val="24"/>
          <w:lang w:val="en-CA"/>
        </w:rPr>
        <w:t>c</w:t>
      </w:r>
      <w:r w:rsidRPr="00F60059">
        <w:rPr>
          <w:i/>
          <w:szCs w:val="24"/>
          <w:lang w:val="en-CA"/>
        </w:rPr>
        <w:t xml:space="preserve">. </w:t>
      </w:r>
      <w:proofErr w:type="spellStart"/>
      <w:r w:rsidRPr="00F60059">
        <w:rPr>
          <w:i/>
          <w:szCs w:val="24"/>
          <w:lang w:val="en-CA"/>
        </w:rPr>
        <w:t>Cariboo</w:t>
      </w:r>
      <w:proofErr w:type="spellEnd"/>
      <w:r w:rsidRPr="00F60059">
        <w:rPr>
          <w:i/>
          <w:szCs w:val="24"/>
          <w:lang w:val="en-CA"/>
        </w:rPr>
        <w:t xml:space="preserve"> Chevrolet Oldsmobile Pontiac Buick GMC Ltd.</w:t>
      </w:r>
      <w:r w:rsidRPr="00F60059">
        <w:rPr>
          <w:szCs w:val="24"/>
          <w:lang w:val="en-CA"/>
        </w:rPr>
        <w:t xml:space="preserve">, 2006 BCSC 43, 42 Admin. L.R. (4th) 266; </w:t>
      </w:r>
      <w:r w:rsidRPr="00F60059">
        <w:rPr>
          <w:i/>
          <w:szCs w:val="24"/>
          <w:lang w:val="en-CA"/>
        </w:rPr>
        <w:t xml:space="preserve">Weber </w:t>
      </w:r>
      <w:r w:rsidR="00230432" w:rsidRPr="00F60059">
        <w:rPr>
          <w:i/>
          <w:szCs w:val="24"/>
          <w:lang w:val="en-CA"/>
        </w:rPr>
        <w:t>c</w:t>
      </w:r>
      <w:r w:rsidRPr="00F60059">
        <w:rPr>
          <w:i/>
          <w:szCs w:val="24"/>
          <w:lang w:val="en-CA"/>
        </w:rPr>
        <w:t>. Ontario Hydro</w:t>
      </w:r>
      <w:r w:rsidRPr="00F60059">
        <w:rPr>
          <w:szCs w:val="24"/>
          <w:lang w:val="en-CA"/>
        </w:rPr>
        <w:t xml:space="preserve">, [1995] 2 </w:t>
      </w:r>
      <w:r w:rsidR="00230432" w:rsidRPr="00F60059">
        <w:rPr>
          <w:szCs w:val="24"/>
          <w:lang w:val="en-CA"/>
        </w:rPr>
        <w:t>R.C.</w:t>
      </w:r>
      <w:r w:rsidRPr="00F60059">
        <w:rPr>
          <w:szCs w:val="24"/>
          <w:lang w:val="en-CA"/>
        </w:rPr>
        <w:t xml:space="preserve">S. 929; </w:t>
      </w:r>
      <w:r w:rsidRPr="00F60059">
        <w:rPr>
          <w:i/>
          <w:szCs w:val="24"/>
          <w:lang w:val="en-CA"/>
        </w:rPr>
        <w:t xml:space="preserve">Villella </w:t>
      </w:r>
      <w:r w:rsidR="00230432" w:rsidRPr="00F60059">
        <w:rPr>
          <w:i/>
          <w:szCs w:val="24"/>
          <w:lang w:val="en-CA"/>
        </w:rPr>
        <w:t>c</w:t>
      </w:r>
      <w:r w:rsidRPr="00F60059">
        <w:rPr>
          <w:i/>
          <w:szCs w:val="24"/>
          <w:lang w:val="en-CA"/>
        </w:rPr>
        <w:t xml:space="preserve">. Vancouver </w:t>
      </w:r>
      <w:r w:rsidRPr="00F60059">
        <w:rPr>
          <w:i/>
          <w:szCs w:val="24"/>
          <w:lang w:val="en-CA"/>
        </w:rPr>
        <w:lastRenderedPageBreak/>
        <w:t>(City)</w:t>
      </w:r>
      <w:r w:rsidRPr="00F60059">
        <w:rPr>
          <w:szCs w:val="24"/>
          <w:lang w:val="en-CA"/>
        </w:rPr>
        <w:t xml:space="preserve">, 2005 BCHRT 405, [2005] B.C.H.R.T.D. </w:t>
      </w:r>
      <w:r w:rsidR="001A7570" w:rsidRPr="00F60059">
        <w:rPr>
          <w:szCs w:val="24"/>
          <w:lang w:val="en-CA"/>
        </w:rPr>
        <w:t>No. </w:t>
      </w:r>
      <w:r w:rsidRPr="00F60059">
        <w:rPr>
          <w:szCs w:val="24"/>
          <w:lang w:val="en-CA"/>
        </w:rPr>
        <w:t xml:space="preserve">405 (QL); </w:t>
      </w:r>
      <w:proofErr w:type="spellStart"/>
      <w:r w:rsidRPr="00F60059">
        <w:rPr>
          <w:i/>
          <w:szCs w:val="24"/>
          <w:lang w:val="en-CA"/>
        </w:rPr>
        <w:t>Schweneke</w:t>
      </w:r>
      <w:proofErr w:type="spellEnd"/>
      <w:r w:rsidRPr="00F60059">
        <w:rPr>
          <w:i/>
          <w:szCs w:val="24"/>
          <w:lang w:val="en-CA"/>
        </w:rPr>
        <w:t xml:space="preserve"> </w:t>
      </w:r>
      <w:r w:rsidR="00230432" w:rsidRPr="00F60059">
        <w:rPr>
          <w:i/>
          <w:szCs w:val="24"/>
          <w:lang w:val="en-CA"/>
        </w:rPr>
        <w:t>c</w:t>
      </w:r>
      <w:r w:rsidRPr="00F60059">
        <w:rPr>
          <w:i/>
          <w:szCs w:val="24"/>
          <w:lang w:val="en-CA"/>
        </w:rPr>
        <w:t>. Ontario</w:t>
      </w:r>
      <w:r w:rsidRPr="00F60059">
        <w:rPr>
          <w:szCs w:val="24"/>
          <w:lang w:val="en-CA"/>
        </w:rPr>
        <w:t xml:space="preserve"> (2000), 47 O.R. (3d) 97</w:t>
      </w:r>
      <w:r w:rsidR="00D10603" w:rsidRPr="00F60059">
        <w:rPr>
          <w:szCs w:val="24"/>
          <w:lang w:val="en-CA"/>
        </w:rPr>
        <w:t xml:space="preserve">; </w:t>
      </w:r>
      <w:r w:rsidR="00D10603" w:rsidRPr="00F60059">
        <w:rPr>
          <w:i/>
          <w:szCs w:val="24"/>
          <w:lang w:val="en-CA"/>
        </w:rPr>
        <w:t>Workers’ Compensation Appeal Tribunal</w:t>
      </w:r>
      <w:r w:rsidR="00345203" w:rsidRPr="00F60059">
        <w:rPr>
          <w:i/>
          <w:szCs w:val="24"/>
          <w:lang w:val="en-CA"/>
        </w:rPr>
        <w:t xml:space="preserve"> (B.C.</w:t>
      </w:r>
      <w:r w:rsidR="00D10603" w:rsidRPr="00F60059">
        <w:rPr>
          <w:i/>
          <w:szCs w:val="24"/>
          <w:lang w:val="en-CA"/>
        </w:rPr>
        <w:t>) c. Hill</w:t>
      </w:r>
      <w:r w:rsidR="00D10603" w:rsidRPr="00F60059">
        <w:rPr>
          <w:szCs w:val="24"/>
          <w:lang w:val="en-CA"/>
        </w:rPr>
        <w:t xml:space="preserve">, 2011 BCCA 49, 299 B.C.A.C. 129; </w:t>
      </w:r>
      <w:proofErr w:type="spellStart"/>
      <w:r w:rsidR="00D10603" w:rsidRPr="00F60059">
        <w:rPr>
          <w:i/>
          <w:lang w:val="en-CA"/>
        </w:rPr>
        <w:t>Allman</w:t>
      </w:r>
      <w:proofErr w:type="spellEnd"/>
      <w:r w:rsidR="00D10603" w:rsidRPr="00F60059">
        <w:rPr>
          <w:i/>
          <w:lang w:val="en-CA"/>
        </w:rPr>
        <w:t xml:space="preserve"> c. </w:t>
      </w:r>
      <w:proofErr w:type="spellStart"/>
      <w:r w:rsidR="00D10603" w:rsidRPr="00F60059">
        <w:rPr>
          <w:i/>
          <w:lang w:val="en-CA"/>
        </w:rPr>
        <w:t>Amacon</w:t>
      </w:r>
      <w:proofErr w:type="spellEnd"/>
      <w:r w:rsidR="00D10603" w:rsidRPr="00F60059">
        <w:rPr>
          <w:i/>
          <w:lang w:val="en-CA"/>
        </w:rPr>
        <w:t xml:space="preserve"> Property Management Services Inc.</w:t>
      </w:r>
      <w:r w:rsidR="00D10603" w:rsidRPr="00F60059">
        <w:rPr>
          <w:lang w:val="en-CA"/>
        </w:rPr>
        <w:t>, 2007 BCCA 302, 243 B.C.A.C. 52</w:t>
      </w:r>
      <w:r w:rsidRPr="00F60059">
        <w:rPr>
          <w:szCs w:val="24"/>
          <w:lang w:val="en-CA"/>
        </w:rPr>
        <w:t>.</w:t>
      </w:r>
    </w:p>
    <w:p w:rsidR="00231F3A" w:rsidRPr="00F60059" w:rsidRDefault="0043088E" w:rsidP="00FC0C61">
      <w:pPr>
        <w:pStyle w:val="SCCNormalDoubleSpacing"/>
        <w:keepNext/>
        <w:spacing w:after="720" w:line="240" w:lineRule="auto"/>
        <w:rPr>
          <w:b/>
        </w:rPr>
      </w:pPr>
      <w:r w:rsidRPr="00F60059">
        <w:rPr>
          <w:b/>
        </w:rPr>
        <w:t>Lois</w:t>
      </w:r>
      <w:r w:rsidR="002E6705" w:rsidRPr="00F60059">
        <w:rPr>
          <w:b/>
        </w:rPr>
        <w:t xml:space="preserve"> </w:t>
      </w:r>
      <w:r w:rsidR="008A6558" w:rsidRPr="00F60059">
        <w:rPr>
          <w:b/>
        </w:rPr>
        <w:t>et</w:t>
      </w:r>
      <w:r w:rsidR="002E6705" w:rsidRPr="00F60059">
        <w:rPr>
          <w:b/>
        </w:rPr>
        <w:t xml:space="preserve"> </w:t>
      </w:r>
      <w:r w:rsidRPr="00F60059">
        <w:rPr>
          <w:b/>
        </w:rPr>
        <w:t>rè</w:t>
      </w:r>
      <w:r w:rsidR="002E6705" w:rsidRPr="00F60059">
        <w:rPr>
          <w:b/>
        </w:rPr>
        <w:t>gl</w:t>
      </w:r>
      <w:r w:rsidRPr="00F60059">
        <w:rPr>
          <w:b/>
        </w:rPr>
        <w:t>ements</w:t>
      </w:r>
      <w:r w:rsidR="002E6705" w:rsidRPr="00F60059">
        <w:rPr>
          <w:b/>
        </w:rPr>
        <w:t xml:space="preserve"> </w:t>
      </w:r>
      <w:r w:rsidRPr="00F60059">
        <w:rPr>
          <w:b/>
        </w:rPr>
        <w:t>c</w:t>
      </w:r>
      <w:r w:rsidR="002E6705" w:rsidRPr="00F60059">
        <w:rPr>
          <w:b/>
        </w:rPr>
        <w:t>it</w:t>
      </w:r>
      <w:r w:rsidRPr="00F60059">
        <w:rPr>
          <w:b/>
        </w:rPr>
        <w:t>és</w:t>
      </w:r>
    </w:p>
    <w:p w:rsidR="00E6288C" w:rsidRPr="00F60059" w:rsidRDefault="00E6288C" w:rsidP="00E14776">
      <w:pPr>
        <w:pStyle w:val="SCCNormalDoubleSpacing"/>
        <w:spacing w:after="240" w:line="240" w:lineRule="auto"/>
        <w:ind w:left="547" w:hanging="547"/>
      </w:pPr>
      <w:r w:rsidRPr="00F60059">
        <w:rPr>
          <w:i/>
          <w:szCs w:val="24"/>
        </w:rPr>
        <w:t xml:space="preserve">Administrative </w:t>
      </w:r>
      <w:proofErr w:type="spellStart"/>
      <w:r w:rsidRPr="00F60059">
        <w:rPr>
          <w:i/>
          <w:szCs w:val="24"/>
        </w:rPr>
        <w:t>Tribunals</w:t>
      </w:r>
      <w:proofErr w:type="spellEnd"/>
      <w:r w:rsidRPr="00F60059">
        <w:rPr>
          <w:i/>
          <w:szCs w:val="24"/>
        </w:rPr>
        <w:t xml:space="preserve"> </w:t>
      </w:r>
      <w:proofErr w:type="spellStart"/>
      <w:r w:rsidRPr="00F60059">
        <w:rPr>
          <w:i/>
          <w:szCs w:val="24"/>
        </w:rPr>
        <w:t>Act</w:t>
      </w:r>
      <w:proofErr w:type="spellEnd"/>
      <w:r w:rsidRPr="00F60059">
        <w:rPr>
          <w:szCs w:val="24"/>
        </w:rPr>
        <w:t xml:space="preserve">, S.B.C. 2004, </w:t>
      </w:r>
      <w:r w:rsidR="001A7570" w:rsidRPr="00F60059">
        <w:rPr>
          <w:szCs w:val="24"/>
        </w:rPr>
        <w:t>ch. </w:t>
      </w:r>
      <w:r w:rsidRPr="00F60059">
        <w:rPr>
          <w:szCs w:val="24"/>
        </w:rPr>
        <w:t xml:space="preserve">45, </w:t>
      </w:r>
      <w:r w:rsidR="001A7570" w:rsidRPr="00F60059">
        <w:rPr>
          <w:szCs w:val="24"/>
        </w:rPr>
        <w:t>art. </w:t>
      </w:r>
      <w:r w:rsidRPr="00F60059">
        <w:rPr>
          <w:szCs w:val="24"/>
        </w:rPr>
        <w:t>44, 59.</w:t>
      </w:r>
    </w:p>
    <w:p w:rsidR="00E6288C" w:rsidRPr="00F60059" w:rsidRDefault="00E6288C" w:rsidP="00E14776">
      <w:pPr>
        <w:pStyle w:val="SCCNormalDoubleSpacing"/>
        <w:spacing w:after="240" w:line="240" w:lineRule="auto"/>
        <w:ind w:left="547" w:hanging="547"/>
        <w:rPr>
          <w:lang w:val="en-CA"/>
        </w:rPr>
      </w:pPr>
      <w:r w:rsidRPr="00F60059">
        <w:rPr>
          <w:i/>
          <w:szCs w:val="24"/>
          <w:lang w:val="en-CA"/>
        </w:rPr>
        <w:t>Attorney General Statutes Amendment Act, 2007</w:t>
      </w:r>
      <w:r w:rsidRPr="00F60059">
        <w:rPr>
          <w:szCs w:val="24"/>
          <w:lang w:val="en-CA"/>
        </w:rPr>
        <w:t xml:space="preserve">, S.B.C. 2007, </w:t>
      </w:r>
      <w:proofErr w:type="spellStart"/>
      <w:r w:rsidR="001A7570" w:rsidRPr="00F60059">
        <w:rPr>
          <w:szCs w:val="24"/>
          <w:lang w:val="en-CA"/>
        </w:rPr>
        <w:t>ch</w:t>
      </w:r>
      <w:proofErr w:type="spellEnd"/>
      <w:r w:rsidR="001A7570" w:rsidRPr="00F60059">
        <w:rPr>
          <w:szCs w:val="24"/>
          <w:lang w:val="en-CA"/>
        </w:rPr>
        <w:t>. </w:t>
      </w:r>
      <w:r w:rsidRPr="00F60059">
        <w:rPr>
          <w:szCs w:val="24"/>
          <w:lang w:val="en-CA"/>
        </w:rPr>
        <w:t>14</w:t>
      </w:r>
      <w:r w:rsidR="00FA7838" w:rsidRPr="00F60059">
        <w:rPr>
          <w:szCs w:val="24"/>
          <w:lang w:val="en-CA"/>
        </w:rPr>
        <w:t xml:space="preserve">, </w:t>
      </w:r>
      <w:r w:rsidR="001A7570" w:rsidRPr="00F60059">
        <w:rPr>
          <w:szCs w:val="24"/>
          <w:lang w:val="en-CA"/>
        </w:rPr>
        <w:t>art. </w:t>
      </w:r>
      <w:r w:rsidR="00FA7838" w:rsidRPr="00F60059">
        <w:rPr>
          <w:szCs w:val="24"/>
          <w:lang w:val="en-CA"/>
        </w:rPr>
        <w:t>3</w:t>
      </w:r>
      <w:r w:rsidRPr="00F60059">
        <w:rPr>
          <w:szCs w:val="24"/>
          <w:lang w:val="en-CA"/>
        </w:rPr>
        <w:t>.</w:t>
      </w:r>
    </w:p>
    <w:p w:rsidR="00E6288C" w:rsidRPr="00F60059" w:rsidRDefault="00E6288C" w:rsidP="00E14776">
      <w:pPr>
        <w:pStyle w:val="SCCNormalDoubleSpacing"/>
        <w:spacing w:after="240" w:line="240" w:lineRule="auto"/>
        <w:ind w:left="547" w:hanging="547"/>
        <w:rPr>
          <w:szCs w:val="24"/>
        </w:rPr>
      </w:pPr>
      <w:r w:rsidRPr="00F60059">
        <w:rPr>
          <w:i/>
          <w:szCs w:val="24"/>
        </w:rPr>
        <w:t>Charte canadienne des droits et libertés</w:t>
      </w:r>
      <w:r w:rsidRPr="00F60059">
        <w:rPr>
          <w:szCs w:val="24"/>
        </w:rPr>
        <w:t xml:space="preserve">, </w:t>
      </w:r>
      <w:r w:rsidR="001A7570" w:rsidRPr="00F60059">
        <w:rPr>
          <w:szCs w:val="24"/>
        </w:rPr>
        <w:t>art. </w:t>
      </w:r>
      <w:r w:rsidRPr="00F60059">
        <w:rPr>
          <w:szCs w:val="24"/>
        </w:rPr>
        <w:t>15.</w:t>
      </w:r>
    </w:p>
    <w:p w:rsidR="00E6288C" w:rsidRPr="00F60059" w:rsidRDefault="00E6288C" w:rsidP="00E14776">
      <w:pPr>
        <w:pStyle w:val="SCCNormalDoubleSpacing"/>
        <w:spacing w:after="240" w:line="240" w:lineRule="auto"/>
        <w:ind w:left="547" w:hanging="547"/>
      </w:pPr>
      <w:r w:rsidRPr="00F60059">
        <w:rPr>
          <w:i/>
        </w:rPr>
        <w:t>Code civil du Québec</w:t>
      </w:r>
      <w:r w:rsidRPr="00F60059">
        <w:t xml:space="preserve">, L.Q. 1991, </w:t>
      </w:r>
      <w:r w:rsidR="001A7570" w:rsidRPr="00F60059">
        <w:t>ch. </w:t>
      </w:r>
      <w:r w:rsidRPr="00F60059">
        <w:t xml:space="preserve">64, </w:t>
      </w:r>
      <w:r w:rsidR="001A7570" w:rsidRPr="00F60059">
        <w:t>art. </w:t>
      </w:r>
      <w:r w:rsidRPr="00F60059">
        <w:t>2848.</w:t>
      </w:r>
    </w:p>
    <w:p w:rsidR="0081312F" w:rsidRPr="00F60059" w:rsidRDefault="0081312F" w:rsidP="00E14776">
      <w:pPr>
        <w:pStyle w:val="SCCNormalDoubleSpacing"/>
        <w:spacing w:after="240" w:line="240" w:lineRule="auto"/>
        <w:ind w:left="547" w:hanging="547"/>
        <w:rPr>
          <w:lang w:val="en-CA"/>
        </w:rPr>
      </w:pPr>
      <w:proofErr w:type="gramStart"/>
      <w:r w:rsidRPr="00F60059">
        <w:rPr>
          <w:i/>
          <w:lang w:val="en-CA"/>
        </w:rPr>
        <w:t>Human Rights Amendment Act, 1995</w:t>
      </w:r>
      <w:r w:rsidRPr="00F60059">
        <w:rPr>
          <w:lang w:val="en-CA"/>
        </w:rPr>
        <w:t>, S.B.C</w:t>
      </w:r>
      <w:r w:rsidR="00A72B14">
        <w:rPr>
          <w:lang w:val="en-CA"/>
        </w:rPr>
        <w:t>.</w:t>
      </w:r>
      <w:r w:rsidRPr="00F60059">
        <w:rPr>
          <w:lang w:val="en-CA"/>
        </w:rPr>
        <w:t xml:space="preserve"> 1995, </w:t>
      </w:r>
      <w:proofErr w:type="spellStart"/>
      <w:r w:rsidR="001A7570" w:rsidRPr="00F60059">
        <w:rPr>
          <w:lang w:val="en-CA"/>
        </w:rPr>
        <w:t>ch</w:t>
      </w:r>
      <w:proofErr w:type="spellEnd"/>
      <w:r w:rsidR="001A7570" w:rsidRPr="00F60059">
        <w:rPr>
          <w:lang w:val="en-CA"/>
        </w:rPr>
        <w:t>. </w:t>
      </w:r>
      <w:r w:rsidRPr="00F60059">
        <w:rPr>
          <w:lang w:val="en-CA"/>
        </w:rPr>
        <w:t>42.</w:t>
      </w:r>
      <w:proofErr w:type="gramEnd"/>
    </w:p>
    <w:p w:rsidR="00E6288C" w:rsidRPr="00F60059" w:rsidRDefault="00E6288C" w:rsidP="00E14776">
      <w:pPr>
        <w:pStyle w:val="SCCNormalDoubleSpacing"/>
        <w:spacing w:after="240" w:line="240" w:lineRule="auto"/>
        <w:ind w:left="547" w:hanging="547"/>
        <w:rPr>
          <w:szCs w:val="24"/>
          <w:lang w:val="en-CA"/>
        </w:rPr>
      </w:pPr>
      <w:proofErr w:type="gramStart"/>
      <w:r w:rsidRPr="00F60059">
        <w:rPr>
          <w:i/>
          <w:szCs w:val="24"/>
          <w:lang w:val="en-CA"/>
        </w:rPr>
        <w:t>Human Rights Code</w:t>
      </w:r>
      <w:r w:rsidRPr="00F60059">
        <w:rPr>
          <w:szCs w:val="24"/>
          <w:lang w:val="en-CA"/>
        </w:rPr>
        <w:t xml:space="preserve">, R.S.B.C. 1996, </w:t>
      </w:r>
      <w:proofErr w:type="spellStart"/>
      <w:r w:rsidR="001A7570" w:rsidRPr="00F60059">
        <w:rPr>
          <w:szCs w:val="24"/>
          <w:lang w:val="en-CA"/>
        </w:rPr>
        <w:t>ch</w:t>
      </w:r>
      <w:proofErr w:type="spellEnd"/>
      <w:r w:rsidR="001A7570" w:rsidRPr="00F60059">
        <w:rPr>
          <w:szCs w:val="24"/>
          <w:lang w:val="en-CA"/>
        </w:rPr>
        <w:t>. </w:t>
      </w:r>
      <w:r w:rsidRPr="00F60059">
        <w:rPr>
          <w:szCs w:val="24"/>
          <w:lang w:val="en-CA"/>
        </w:rPr>
        <w:t xml:space="preserve">210, </w:t>
      </w:r>
      <w:r w:rsidR="001A7570" w:rsidRPr="00F60059">
        <w:rPr>
          <w:szCs w:val="24"/>
          <w:lang w:val="en-CA"/>
        </w:rPr>
        <w:t>art.</w:t>
      </w:r>
      <w:proofErr w:type="gramEnd"/>
      <w:r w:rsidR="001A7570" w:rsidRPr="00F60059">
        <w:rPr>
          <w:szCs w:val="24"/>
          <w:lang w:val="en-CA"/>
        </w:rPr>
        <w:t> </w:t>
      </w:r>
      <w:proofErr w:type="gramStart"/>
      <w:r w:rsidRPr="00F60059">
        <w:rPr>
          <w:szCs w:val="24"/>
          <w:lang w:val="en-CA"/>
        </w:rPr>
        <w:t xml:space="preserve">8, </w:t>
      </w:r>
      <w:r w:rsidR="008A73FD" w:rsidRPr="00F60059">
        <w:rPr>
          <w:szCs w:val="24"/>
          <w:lang w:val="en-CA"/>
        </w:rPr>
        <w:t>25(2)</w:t>
      </w:r>
      <w:r w:rsidR="00FA7838" w:rsidRPr="00F60059">
        <w:rPr>
          <w:szCs w:val="24"/>
          <w:lang w:val="en-CA"/>
        </w:rPr>
        <w:t xml:space="preserve"> [abr. &amp; </w:t>
      </w:r>
      <w:proofErr w:type="spellStart"/>
      <w:r w:rsidR="00FA7838" w:rsidRPr="00F60059">
        <w:rPr>
          <w:szCs w:val="24"/>
          <w:lang w:val="en-CA"/>
        </w:rPr>
        <w:t>rempl</w:t>
      </w:r>
      <w:proofErr w:type="spellEnd"/>
      <w:r w:rsidR="00FA7838" w:rsidRPr="00F60059">
        <w:rPr>
          <w:szCs w:val="24"/>
          <w:lang w:val="en-CA"/>
        </w:rPr>
        <w:t xml:space="preserve">. 2002, </w:t>
      </w:r>
      <w:proofErr w:type="spellStart"/>
      <w:r w:rsidR="001A7570" w:rsidRPr="00F60059">
        <w:rPr>
          <w:szCs w:val="24"/>
          <w:lang w:val="en-CA"/>
        </w:rPr>
        <w:t>ch</w:t>
      </w:r>
      <w:proofErr w:type="spellEnd"/>
      <w:r w:rsidR="001A7570" w:rsidRPr="00F60059">
        <w:rPr>
          <w:szCs w:val="24"/>
          <w:lang w:val="en-CA"/>
        </w:rPr>
        <w:t>. </w:t>
      </w:r>
      <w:r w:rsidR="00FA7838" w:rsidRPr="00F60059">
        <w:rPr>
          <w:szCs w:val="24"/>
          <w:lang w:val="en-CA"/>
        </w:rPr>
        <w:t xml:space="preserve">62, </w:t>
      </w:r>
      <w:r w:rsidR="001A7570" w:rsidRPr="00F60059">
        <w:rPr>
          <w:szCs w:val="24"/>
          <w:lang w:val="en-CA"/>
        </w:rPr>
        <w:t>art. </w:t>
      </w:r>
      <w:r w:rsidR="00FA7838" w:rsidRPr="00F60059">
        <w:rPr>
          <w:szCs w:val="24"/>
          <w:lang w:val="en-CA"/>
        </w:rPr>
        <w:t>11]</w:t>
      </w:r>
      <w:r w:rsidR="008A73FD" w:rsidRPr="00F60059">
        <w:rPr>
          <w:szCs w:val="24"/>
          <w:lang w:val="en-CA"/>
        </w:rPr>
        <w:t xml:space="preserve">, </w:t>
      </w:r>
      <w:r w:rsidR="00D577BF" w:rsidRPr="00F60059">
        <w:rPr>
          <w:szCs w:val="24"/>
          <w:lang w:val="en-CA"/>
        </w:rPr>
        <w:t xml:space="preserve">(3) [abr. </w:t>
      </w:r>
      <w:r w:rsidR="002A18F2" w:rsidRPr="00F60059">
        <w:rPr>
          <w:i/>
          <w:szCs w:val="24"/>
          <w:lang w:val="en-CA"/>
        </w:rPr>
        <w:t>idem</w:t>
      </w:r>
      <w:r w:rsidR="00D577BF" w:rsidRPr="00F60059">
        <w:rPr>
          <w:szCs w:val="24"/>
          <w:lang w:val="en-CA"/>
        </w:rPr>
        <w:t xml:space="preserve">], </w:t>
      </w:r>
      <w:r w:rsidRPr="00F60059">
        <w:rPr>
          <w:szCs w:val="24"/>
          <w:lang w:val="en-CA"/>
        </w:rPr>
        <w:t>27(1)</w:t>
      </w:r>
      <w:r w:rsidR="00D577BF" w:rsidRPr="00F60059">
        <w:rPr>
          <w:szCs w:val="24"/>
          <w:lang w:val="en-CA"/>
        </w:rPr>
        <w:t xml:space="preserve">, (2) [abr. &amp; </w:t>
      </w:r>
      <w:proofErr w:type="spellStart"/>
      <w:r w:rsidR="00D577BF" w:rsidRPr="00F60059">
        <w:rPr>
          <w:szCs w:val="24"/>
          <w:lang w:val="en-CA"/>
        </w:rPr>
        <w:t>rempl</w:t>
      </w:r>
      <w:proofErr w:type="spellEnd"/>
      <w:r w:rsidR="00D577BF" w:rsidRPr="00F60059">
        <w:rPr>
          <w:szCs w:val="24"/>
          <w:lang w:val="en-CA"/>
        </w:rPr>
        <w:t>.</w:t>
      </w:r>
      <w:r w:rsidR="002A18F2" w:rsidRPr="00F60059">
        <w:rPr>
          <w:szCs w:val="24"/>
          <w:lang w:val="en-CA"/>
        </w:rPr>
        <w:t xml:space="preserve"> </w:t>
      </w:r>
      <w:r w:rsidR="002A18F2" w:rsidRPr="00F60059">
        <w:rPr>
          <w:i/>
          <w:szCs w:val="24"/>
          <w:lang w:val="en-CA"/>
        </w:rPr>
        <w:t>idem</w:t>
      </w:r>
      <w:r w:rsidR="00D577BF" w:rsidRPr="00F60059">
        <w:rPr>
          <w:szCs w:val="24"/>
          <w:lang w:val="en-CA"/>
        </w:rPr>
        <w:t xml:space="preserve">, </w:t>
      </w:r>
      <w:r w:rsidR="001A7570" w:rsidRPr="00F60059">
        <w:rPr>
          <w:szCs w:val="24"/>
          <w:lang w:val="en-CA"/>
        </w:rPr>
        <w:t>art. </w:t>
      </w:r>
      <w:r w:rsidR="00D577BF" w:rsidRPr="00F60059">
        <w:rPr>
          <w:szCs w:val="24"/>
          <w:lang w:val="en-CA"/>
        </w:rPr>
        <w:t>12]</w:t>
      </w:r>
      <w:r w:rsidRPr="00F60059">
        <w:rPr>
          <w:szCs w:val="24"/>
          <w:lang w:val="en-CA"/>
        </w:rPr>
        <w:t>.</w:t>
      </w:r>
      <w:proofErr w:type="gramEnd"/>
    </w:p>
    <w:p w:rsidR="008A73FD" w:rsidRPr="00F60059" w:rsidRDefault="008A73FD" w:rsidP="00E14776">
      <w:pPr>
        <w:pStyle w:val="SCCNormalDoubleSpacing"/>
        <w:spacing w:after="240" w:line="240" w:lineRule="auto"/>
        <w:ind w:left="547" w:hanging="547"/>
        <w:rPr>
          <w:szCs w:val="24"/>
          <w:lang w:val="en-CA"/>
        </w:rPr>
      </w:pPr>
      <w:proofErr w:type="gramStart"/>
      <w:r w:rsidRPr="00F60059">
        <w:rPr>
          <w:i/>
          <w:iCs/>
          <w:szCs w:val="24"/>
          <w:lang w:val="en-CA"/>
        </w:rPr>
        <w:t>Human Rights Code Amendment Act, 2002</w:t>
      </w:r>
      <w:r w:rsidRPr="00F60059">
        <w:rPr>
          <w:iCs/>
          <w:szCs w:val="24"/>
          <w:lang w:val="en-CA"/>
        </w:rPr>
        <w:t xml:space="preserve">, S.B.C. 2002, </w:t>
      </w:r>
      <w:proofErr w:type="spellStart"/>
      <w:r w:rsidR="001A7570" w:rsidRPr="00F60059">
        <w:rPr>
          <w:iCs/>
          <w:szCs w:val="24"/>
          <w:lang w:val="en-CA"/>
        </w:rPr>
        <w:t>ch</w:t>
      </w:r>
      <w:proofErr w:type="spellEnd"/>
      <w:r w:rsidR="001A7570" w:rsidRPr="00F60059">
        <w:rPr>
          <w:iCs/>
          <w:szCs w:val="24"/>
          <w:lang w:val="en-CA"/>
        </w:rPr>
        <w:t>. </w:t>
      </w:r>
      <w:r w:rsidRPr="00F60059">
        <w:rPr>
          <w:iCs/>
          <w:szCs w:val="24"/>
          <w:lang w:val="en-CA"/>
        </w:rPr>
        <w:t>62.</w:t>
      </w:r>
      <w:proofErr w:type="gramEnd"/>
    </w:p>
    <w:p w:rsidR="00E6288C" w:rsidRPr="00F60059" w:rsidRDefault="00E6288C" w:rsidP="00E14776">
      <w:pPr>
        <w:pStyle w:val="SCCNormalDoubleSpacing"/>
        <w:spacing w:after="720" w:line="240" w:lineRule="auto"/>
        <w:ind w:left="547" w:hanging="547"/>
        <w:rPr>
          <w:lang w:val="en-CA"/>
        </w:rPr>
      </w:pPr>
      <w:r w:rsidRPr="00F60059">
        <w:rPr>
          <w:i/>
          <w:szCs w:val="24"/>
          <w:lang w:val="en-CA"/>
        </w:rPr>
        <w:t>Workers Compensation Act</w:t>
      </w:r>
      <w:r w:rsidRPr="00F60059">
        <w:rPr>
          <w:szCs w:val="24"/>
          <w:lang w:val="en-CA"/>
        </w:rPr>
        <w:t xml:space="preserve">, R.S.B.C. 1996, </w:t>
      </w:r>
      <w:proofErr w:type="spellStart"/>
      <w:r w:rsidR="001A7570" w:rsidRPr="00F60059">
        <w:rPr>
          <w:szCs w:val="24"/>
          <w:lang w:val="en-CA"/>
        </w:rPr>
        <w:t>ch</w:t>
      </w:r>
      <w:proofErr w:type="spellEnd"/>
      <w:r w:rsidR="001A7570" w:rsidRPr="00F60059">
        <w:rPr>
          <w:szCs w:val="24"/>
          <w:lang w:val="en-CA"/>
        </w:rPr>
        <w:t>. </w:t>
      </w:r>
      <w:r w:rsidRPr="00F60059">
        <w:rPr>
          <w:szCs w:val="24"/>
          <w:lang w:val="en-CA"/>
        </w:rPr>
        <w:t xml:space="preserve">492, </w:t>
      </w:r>
      <w:r w:rsidR="001A7570" w:rsidRPr="00F60059">
        <w:rPr>
          <w:szCs w:val="24"/>
          <w:lang w:val="en-CA"/>
        </w:rPr>
        <w:t>art. </w:t>
      </w:r>
      <w:proofErr w:type="gramStart"/>
      <w:r w:rsidR="008A73FD" w:rsidRPr="00F60059">
        <w:rPr>
          <w:szCs w:val="24"/>
          <w:lang w:val="en-CA"/>
        </w:rPr>
        <w:t>96.4(2), 99, 245</w:t>
      </w:r>
      <w:r w:rsidR="00FA7838" w:rsidRPr="00F60059">
        <w:rPr>
          <w:szCs w:val="24"/>
          <w:lang w:val="en-CA"/>
        </w:rPr>
        <w:t xml:space="preserve"> à 250</w:t>
      </w:r>
      <w:r w:rsidR="008A73FD" w:rsidRPr="00F60059">
        <w:rPr>
          <w:szCs w:val="24"/>
          <w:lang w:val="en-CA"/>
        </w:rPr>
        <w:t>, 251</w:t>
      </w:r>
      <w:r w:rsidRPr="00F60059">
        <w:rPr>
          <w:szCs w:val="24"/>
          <w:lang w:val="en-CA"/>
        </w:rPr>
        <w:t>.</w:t>
      </w:r>
      <w:proofErr w:type="gramEnd"/>
    </w:p>
    <w:p w:rsidR="002E6705" w:rsidRPr="00F60059" w:rsidRDefault="0043088E" w:rsidP="00E14776">
      <w:pPr>
        <w:pStyle w:val="SCCNormalDoubleSpacing"/>
        <w:keepNext/>
        <w:spacing w:after="720" w:line="240" w:lineRule="auto"/>
        <w:rPr>
          <w:b/>
          <w:lang w:val="en-CA"/>
        </w:rPr>
      </w:pPr>
      <w:r w:rsidRPr="00F60059">
        <w:rPr>
          <w:b/>
          <w:lang w:val="en-CA"/>
        </w:rPr>
        <w:t>Doctrine</w:t>
      </w:r>
      <w:r w:rsidR="002E6705" w:rsidRPr="00F60059">
        <w:rPr>
          <w:b/>
          <w:lang w:val="en-CA"/>
        </w:rPr>
        <w:t xml:space="preserve"> </w:t>
      </w:r>
      <w:proofErr w:type="spellStart"/>
      <w:r w:rsidRPr="00F60059">
        <w:rPr>
          <w:b/>
          <w:lang w:val="en-CA"/>
        </w:rPr>
        <w:t>c</w:t>
      </w:r>
      <w:r w:rsidR="002E6705" w:rsidRPr="00F60059">
        <w:rPr>
          <w:b/>
          <w:lang w:val="en-CA"/>
        </w:rPr>
        <w:t>it</w:t>
      </w:r>
      <w:r w:rsidRPr="00F60059">
        <w:rPr>
          <w:b/>
          <w:lang w:val="en-CA"/>
        </w:rPr>
        <w:t>é</w:t>
      </w:r>
      <w:r w:rsidR="002E6705" w:rsidRPr="00F60059">
        <w:rPr>
          <w:b/>
          <w:lang w:val="en-CA"/>
        </w:rPr>
        <w:t>e</w:t>
      </w:r>
      <w:proofErr w:type="spellEnd"/>
    </w:p>
    <w:p w:rsidR="008A73FD" w:rsidRPr="00F60059" w:rsidRDefault="008A73FD" w:rsidP="00E14776">
      <w:pPr>
        <w:pStyle w:val="SCCNormalDoubleSpacing"/>
        <w:spacing w:after="240" w:line="240" w:lineRule="auto"/>
        <w:ind w:left="547" w:hanging="547"/>
        <w:rPr>
          <w:szCs w:val="24"/>
          <w:lang w:val="en-CA"/>
        </w:rPr>
      </w:pPr>
      <w:proofErr w:type="spellStart"/>
      <w:proofErr w:type="gramStart"/>
      <w:r w:rsidRPr="00F60059">
        <w:rPr>
          <w:lang w:val="en-CA"/>
        </w:rPr>
        <w:t>Colombie</w:t>
      </w:r>
      <w:r w:rsidR="001A7570" w:rsidRPr="00F60059">
        <w:rPr>
          <w:lang w:val="en-CA"/>
        </w:rPr>
        <w:noBreakHyphen/>
      </w:r>
      <w:r w:rsidRPr="00F60059">
        <w:rPr>
          <w:lang w:val="en-CA"/>
        </w:rPr>
        <w:t>Britannique</w:t>
      </w:r>
      <w:proofErr w:type="spellEnd"/>
      <w:r w:rsidRPr="00F60059">
        <w:rPr>
          <w:szCs w:val="24"/>
          <w:lang w:val="en-CA"/>
        </w:rPr>
        <w:t>.</w:t>
      </w:r>
      <w:proofErr w:type="gramEnd"/>
      <w:r w:rsidRPr="00F60059">
        <w:rPr>
          <w:szCs w:val="24"/>
          <w:lang w:val="en-CA"/>
        </w:rPr>
        <w:t xml:space="preserve">  </w:t>
      </w:r>
      <w:r w:rsidR="00D919DA" w:rsidRPr="00F60059">
        <w:rPr>
          <w:i/>
          <w:szCs w:val="24"/>
          <w:lang w:val="en-CA"/>
        </w:rPr>
        <w:t>Official Report of Debates of the Legislative Assembly (</w:t>
      </w:r>
      <w:proofErr w:type="spellStart"/>
      <w:r w:rsidR="00D919DA" w:rsidRPr="00F60059">
        <w:rPr>
          <w:i/>
          <w:szCs w:val="24"/>
          <w:lang w:val="en-CA"/>
        </w:rPr>
        <w:t>Hansard</w:t>
      </w:r>
      <w:proofErr w:type="spellEnd"/>
      <w:r w:rsidR="00D919DA" w:rsidRPr="00F60059">
        <w:rPr>
          <w:i/>
          <w:szCs w:val="24"/>
          <w:lang w:val="en-CA"/>
        </w:rPr>
        <w:t>)</w:t>
      </w:r>
      <w:r w:rsidRPr="00F60059">
        <w:rPr>
          <w:szCs w:val="24"/>
          <w:lang w:val="en-CA"/>
        </w:rPr>
        <w:t xml:space="preserve">, </w:t>
      </w:r>
      <w:r w:rsidR="001A7570" w:rsidRPr="00F60059">
        <w:rPr>
          <w:szCs w:val="24"/>
          <w:lang w:val="en-CA"/>
        </w:rPr>
        <w:t>vol. </w:t>
      </w:r>
      <w:r w:rsidRPr="00F60059">
        <w:rPr>
          <w:szCs w:val="24"/>
          <w:lang w:val="en-CA"/>
        </w:rPr>
        <w:t xml:space="preserve">9, 3rd Sess., 37th Parl., October 28, 2002, </w:t>
      </w:r>
      <w:r w:rsidR="001A7570" w:rsidRPr="00F60059">
        <w:rPr>
          <w:szCs w:val="24"/>
          <w:lang w:val="en-CA"/>
        </w:rPr>
        <w:t>p. </w:t>
      </w:r>
      <w:r w:rsidRPr="00F60059">
        <w:rPr>
          <w:szCs w:val="24"/>
          <w:lang w:val="en-CA"/>
        </w:rPr>
        <w:t>4094.</w:t>
      </w:r>
    </w:p>
    <w:p w:rsidR="008A4631" w:rsidRPr="00F60059" w:rsidRDefault="008A4631" w:rsidP="00E14776">
      <w:pPr>
        <w:pStyle w:val="SCCNormalDoubleSpacing"/>
        <w:spacing w:after="240" w:line="240" w:lineRule="auto"/>
        <w:ind w:left="547" w:hanging="547"/>
        <w:rPr>
          <w:szCs w:val="24"/>
          <w:lang w:val="en-CA"/>
        </w:rPr>
      </w:pPr>
      <w:proofErr w:type="spellStart"/>
      <w:proofErr w:type="gramStart"/>
      <w:r w:rsidRPr="00F60059">
        <w:rPr>
          <w:lang w:val="en-CA"/>
        </w:rPr>
        <w:t>Colombie</w:t>
      </w:r>
      <w:r w:rsidR="001A7570" w:rsidRPr="00F60059">
        <w:rPr>
          <w:lang w:val="en-CA"/>
        </w:rPr>
        <w:noBreakHyphen/>
      </w:r>
      <w:r w:rsidRPr="00F60059">
        <w:rPr>
          <w:lang w:val="en-CA"/>
        </w:rPr>
        <w:t>Britannique</w:t>
      </w:r>
      <w:proofErr w:type="spellEnd"/>
      <w:r w:rsidRPr="00F60059">
        <w:rPr>
          <w:szCs w:val="24"/>
          <w:lang w:val="en-CA"/>
        </w:rPr>
        <w:t>.</w:t>
      </w:r>
      <w:proofErr w:type="gramEnd"/>
      <w:r w:rsidRPr="00F60059">
        <w:rPr>
          <w:szCs w:val="24"/>
          <w:lang w:val="en-CA"/>
        </w:rPr>
        <w:t xml:space="preserve">  </w:t>
      </w:r>
      <w:proofErr w:type="gramStart"/>
      <w:r w:rsidRPr="00F60059">
        <w:rPr>
          <w:i/>
          <w:szCs w:val="24"/>
          <w:lang w:val="en-CA"/>
        </w:rPr>
        <w:t>Official Report of Debates of the Legislative Assembly (</w:t>
      </w:r>
      <w:proofErr w:type="spellStart"/>
      <w:r w:rsidRPr="00F60059">
        <w:rPr>
          <w:i/>
          <w:szCs w:val="24"/>
          <w:lang w:val="en-CA"/>
        </w:rPr>
        <w:t>Hansard</w:t>
      </w:r>
      <w:proofErr w:type="spellEnd"/>
      <w:r w:rsidRPr="00F60059">
        <w:rPr>
          <w:i/>
          <w:szCs w:val="24"/>
          <w:lang w:val="en-CA"/>
        </w:rPr>
        <w:t>)</w:t>
      </w:r>
      <w:r w:rsidRPr="00F60059">
        <w:rPr>
          <w:szCs w:val="24"/>
          <w:lang w:val="en-CA"/>
        </w:rPr>
        <w:t xml:space="preserve">, </w:t>
      </w:r>
      <w:r w:rsidR="001A7570" w:rsidRPr="00F60059">
        <w:rPr>
          <w:szCs w:val="24"/>
          <w:lang w:val="en-CA"/>
        </w:rPr>
        <w:t>vol. </w:t>
      </w:r>
      <w:r w:rsidRPr="00F60059">
        <w:rPr>
          <w:szCs w:val="24"/>
          <w:lang w:val="en-CA"/>
        </w:rPr>
        <w:t xml:space="preserve">21, 3rd Sess., 38th Parl., May 16, 2007, </w:t>
      </w:r>
      <w:r w:rsidR="001A7570" w:rsidRPr="00F60059">
        <w:rPr>
          <w:szCs w:val="24"/>
          <w:lang w:val="en-CA"/>
        </w:rPr>
        <w:t>pp. </w:t>
      </w:r>
      <w:r w:rsidRPr="00F60059">
        <w:rPr>
          <w:szCs w:val="24"/>
          <w:lang w:val="en-CA"/>
        </w:rPr>
        <w:t>8088</w:t>
      </w:r>
      <w:r w:rsidR="001A7570" w:rsidRPr="00F60059">
        <w:rPr>
          <w:szCs w:val="24"/>
          <w:lang w:val="en-CA"/>
        </w:rPr>
        <w:noBreakHyphen/>
      </w:r>
      <w:r w:rsidRPr="00F60059">
        <w:rPr>
          <w:szCs w:val="24"/>
          <w:lang w:val="en-CA"/>
        </w:rPr>
        <w:t>93.</w:t>
      </w:r>
      <w:proofErr w:type="gramEnd"/>
    </w:p>
    <w:p w:rsidR="00D919DA" w:rsidRPr="00F60059" w:rsidRDefault="00D919DA" w:rsidP="00E14776">
      <w:pPr>
        <w:pStyle w:val="SCCNormalDoubleSpacing"/>
        <w:spacing w:after="240" w:line="240" w:lineRule="auto"/>
        <w:ind w:left="547" w:hanging="547"/>
        <w:rPr>
          <w:szCs w:val="24"/>
          <w:lang w:val="en-CA"/>
        </w:rPr>
      </w:pPr>
      <w:proofErr w:type="spellStart"/>
      <w:proofErr w:type="gramStart"/>
      <w:r w:rsidRPr="00F60059">
        <w:rPr>
          <w:lang w:val="en-CA"/>
        </w:rPr>
        <w:t>Colombie</w:t>
      </w:r>
      <w:r w:rsidR="001A7570" w:rsidRPr="00F60059">
        <w:rPr>
          <w:lang w:val="en-CA"/>
        </w:rPr>
        <w:noBreakHyphen/>
      </w:r>
      <w:r w:rsidRPr="00F60059">
        <w:rPr>
          <w:lang w:val="en-CA"/>
        </w:rPr>
        <w:t>Britannique</w:t>
      </w:r>
      <w:proofErr w:type="spellEnd"/>
      <w:r w:rsidRPr="00F60059">
        <w:rPr>
          <w:szCs w:val="24"/>
          <w:lang w:val="en-CA"/>
        </w:rPr>
        <w:t>.</w:t>
      </w:r>
      <w:proofErr w:type="gramEnd"/>
      <w:r w:rsidRPr="00F60059">
        <w:rPr>
          <w:szCs w:val="24"/>
          <w:lang w:val="en-CA"/>
        </w:rPr>
        <w:t xml:space="preserve">  </w:t>
      </w:r>
      <w:r w:rsidRPr="00F60059">
        <w:rPr>
          <w:i/>
          <w:szCs w:val="24"/>
          <w:lang w:val="en-CA"/>
        </w:rPr>
        <w:t>Official Report of Debates of the Legislative Assembly (</w:t>
      </w:r>
      <w:proofErr w:type="spellStart"/>
      <w:r w:rsidRPr="00F60059">
        <w:rPr>
          <w:i/>
          <w:szCs w:val="24"/>
          <w:lang w:val="en-CA"/>
        </w:rPr>
        <w:t>Hansard</w:t>
      </w:r>
      <w:proofErr w:type="spellEnd"/>
      <w:r w:rsidRPr="00F60059">
        <w:rPr>
          <w:i/>
          <w:szCs w:val="24"/>
          <w:lang w:val="en-CA"/>
        </w:rPr>
        <w:t>)</w:t>
      </w:r>
      <w:r w:rsidRPr="00F60059">
        <w:rPr>
          <w:szCs w:val="24"/>
          <w:lang w:val="en-CA"/>
        </w:rPr>
        <w:t xml:space="preserve">, </w:t>
      </w:r>
      <w:r w:rsidR="001A7570" w:rsidRPr="00F60059">
        <w:rPr>
          <w:szCs w:val="24"/>
          <w:lang w:val="en-CA"/>
        </w:rPr>
        <w:t>vol. </w:t>
      </w:r>
      <w:r w:rsidRPr="00F60059">
        <w:rPr>
          <w:szCs w:val="24"/>
          <w:lang w:val="en-CA"/>
        </w:rPr>
        <w:t xml:space="preserve">21, 4th Sess., 35th Parl., June 22, 1995, </w:t>
      </w:r>
      <w:r w:rsidR="001A7570" w:rsidRPr="00F60059">
        <w:rPr>
          <w:szCs w:val="24"/>
          <w:lang w:val="en-CA"/>
        </w:rPr>
        <w:t>p. </w:t>
      </w:r>
      <w:r w:rsidRPr="00F60059">
        <w:rPr>
          <w:szCs w:val="24"/>
          <w:lang w:val="en-CA"/>
        </w:rPr>
        <w:t>16062.</w:t>
      </w:r>
    </w:p>
    <w:p w:rsidR="00E6288C" w:rsidRPr="00F60059" w:rsidRDefault="00E6288C" w:rsidP="00E14776">
      <w:pPr>
        <w:pStyle w:val="SCCNormalDoubleSpacing"/>
        <w:spacing w:after="240" w:line="240" w:lineRule="auto"/>
        <w:ind w:left="547" w:hanging="547"/>
        <w:rPr>
          <w:lang w:val="en-CA"/>
        </w:rPr>
      </w:pPr>
      <w:proofErr w:type="spellStart"/>
      <w:proofErr w:type="gramStart"/>
      <w:r w:rsidRPr="00F60059">
        <w:rPr>
          <w:lang w:val="en-CA"/>
        </w:rPr>
        <w:lastRenderedPageBreak/>
        <w:t>Col</w:t>
      </w:r>
      <w:r w:rsidR="001F3C38" w:rsidRPr="00F60059">
        <w:rPr>
          <w:lang w:val="en-CA"/>
        </w:rPr>
        <w:t>o</w:t>
      </w:r>
      <w:r w:rsidRPr="00F60059">
        <w:rPr>
          <w:lang w:val="en-CA"/>
        </w:rPr>
        <w:t>mbi</w:t>
      </w:r>
      <w:r w:rsidR="001F3C38" w:rsidRPr="00F60059">
        <w:rPr>
          <w:lang w:val="en-CA"/>
        </w:rPr>
        <w:t>e</w:t>
      </w:r>
      <w:r w:rsidR="001A7570" w:rsidRPr="00F60059">
        <w:rPr>
          <w:lang w:val="en-CA"/>
        </w:rPr>
        <w:noBreakHyphen/>
      </w:r>
      <w:r w:rsidR="001F3C38" w:rsidRPr="00F60059">
        <w:rPr>
          <w:lang w:val="en-CA"/>
        </w:rPr>
        <w:t>Britannique</w:t>
      </w:r>
      <w:proofErr w:type="spellEnd"/>
      <w:r w:rsidRPr="00F60059">
        <w:rPr>
          <w:lang w:val="en-CA"/>
        </w:rPr>
        <w:t>.</w:t>
      </w:r>
      <w:proofErr w:type="gramEnd"/>
      <w:r w:rsidRPr="00F60059">
        <w:rPr>
          <w:lang w:val="en-CA"/>
        </w:rPr>
        <w:t xml:space="preserve">  </w:t>
      </w:r>
      <w:proofErr w:type="gramStart"/>
      <w:r w:rsidRPr="00F60059">
        <w:rPr>
          <w:lang w:val="en-CA"/>
        </w:rPr>
        <w:t>Workers’ Compensation Board.</w:t>
      </w:r>
      <w:proofErr w:type="gramEnd"/>
      <w:r w:rsidRPr="00F60059">
        <w:rPr>
          <w:lang w:val="en-CA"/>
        </w:rPr>
        <w:t xml:space="preserve">  </w:t>
      </w:r>
      <w:r w:rsidRPr="00F60059">
        <w:rPr>
          <w:i/>
          <w:lang w:val="en-CA"/>
        </w:rPr>
        <w:t>Rehabilitation Services and Claims Manual</w:t>
      </w:r>
      <w:r w:rsidRPr="00F60059">
        <w:rPr>
          <w:lang w:val="en-CA"/>
        </w:rPr>
        <w:t xml:space="preserve">, </w:t>
      </w:r>
      <w:r w:rsidR="00AB5826" w:rsidRPr="00F60059">
        <w:rPr>
          <w:lang w:val="en-CA"/>
        </w:rPr>
        <w:t xml:space="preserve">vols. I and II, </w:t>
      </w:r>
      <w:r w:rsidRPr="00F60059">
        <w:rPr>
          <w:lang w:val="en-CA"/>
        </w:rPr>
        <w:t>updated June 2011 (</w:t>
      </w:r>
      <w:proofErr w:type="gramStart"/>
      <w:r w:rsidRPr="00F60059">
        <w:rPr>
          <w:lang w:val="en-CA"/>
        </w:rPr>
        <w:t>online</w:t>
      </w:r>
      <w:r w:rsidR="001A7570" w:rsidRPr="00F60059">
        <w:rPr>
          <w:lang w:val="en-CA"/>
        </w:rPr>
        <w:t> :</w:t>
      </w:r>
      <w:proofErr w:type="gramEnd"/>
      <w:r w:rsidRPr="00F60059">
        <w:rPr>
          <w:lang w:val="en-CA"/>
        </w:rPr>
        <w:t xml:space="preserve"> </w:t>
      </w:r>
      <w:r w:rsidR="001F3C38" w:rsidRPr="00F60059">
        <w:rPr>
          <w:lang w:val="en-CA"/>
        </w:rPr>
        <w:t>http://www.worksafebc.com/publications/policy_manuals/rehabilitation_services_and_claims_manual/default.asp</w:t>
      </w:r>
      <w:r w:rsidRPr="00F60059">
        <w:rPr>
          <w:lang w:val="en-CA"/>
        </w:rPr>
        <w:t>).</w:t>
      </w:r>
    </w:p>
    <w:p w:rsidR="008A73FD" w:rsidRPr="00F60059" w:rsidRDefault="008A73FD" w:rsidP="00E14776">
      <w:pPr>
        <w:pStyle w:val="SCCNormalDoubleSpacing"/>
        <w:spacing w:after="240" w:line="240" w:lineRule="auto"/>
        <w:ind w:left="547" w:hanging="547"/>
        <w:rPr>
          <w:szCs w:val="24"/>
          <w:lang w:val="en-CA"/>
        </w:rPr>
      </w:pPr>
      <w:r w:rsidRPr="00F60059">
        <w:rPr>
          <w:szCs w:val="24"/>
          <w:lang w:val="en-CA"/>
        </w:rPr>
        <w:t>Lange, Donald</w:t>
      </w:r>
      <w:r w:rsidR="00E14776" w:rsidRPr="00F60059">
        <w:rPr>
          <w:szCs w:val="24"/>
          <w:lang w:val="en-CA"/>
        </w:rPr>
        <w:t> </w:t>
      </w:r>
      <w:r w:rsidRPr="00F60059">
        <w:rPr>
          <w:szCs w:val="24"/>
          <w:lang w:val="en-CA"/>
        </w:rPr>
        <w:t xml:space="preserve">J.  </w:t>
      </w:r>
      <w:r w:rsidRPr="00F60059">
        <w:rPr>
          <w:i/>
          <w:iCs/>
          <w:szCs w:val="24"/>
          <w:lang w:val="en-CA"/>
        </w:rPr>
        <w:t xml:space="preserve">The Doctrine of Res </w:t>
      </w:r>
      <w:proofErr w:type="spellStart"/>
      <w:r w:rsidRPr="00F60059">
        <w:rPr>
          <w:i/>
          <w:iCs/>
          <w:szCs w:val="24"/>
          <w:lang w:val="en-CA"/>
        </w:rPr>
        <w:t>Judicata</w:t>
      </w:r>
      <w:proofErr w:type="spellEnd"/>
      <w:r w:rsidRPr="00F60059">
        <w:rPr>
          <w:i/>
          <w:iCs/>
          <w:szCs w:val="24"/>
          <w:lang w:val="en-CA"/>
        </w:rPr>
        <w:t xml:space="preserve"> in Canada</w:t>
      </w:r>
      <w:r w:rsidRPr="00F60059">
        <w:rPr>
          <w:iCs/>
          <w:szCs w:val="24"/>
          <w:lang w:val="en-CA"/>
        </w:rPr>
        <w:t xml:space="preserve">, </w:t>
      </w:r>
      <w:r w:rsidRPr="00F60059">
        <w:rPr>
          <w:szCs w:val="24"/>
          <w:lang w:val="en-CA"/>
        </w:rPr>
        <w:t xml:space="preserve">3rd </w:t>
      </w:r>
      <w:proofErr w:type="gramStart"/>
      <w:r w:rsidRPr="00F60059">
        <w:rPr>
          <w:szCs w:val="24"/>
          <w:lang w:val="en-CA"/>
        </w:rPr>
        <w:t>ed</w:t>
      </w:r>
      <w:proofErr w:type="gramEnd"/>
      <w:r w:rsidRPr="00F60059">
        <w:rPr>
          <w:szCs w:val="24"/>
          <w:lang w:val="en-CA"/>
        </w:rPr>
        <w:t>.  Markham, Ont</w:t>
      </w:r>
      <w:proofErr w:type="gramStart"/>
      <w:r w:rsidRPr="00F60059">
        <w:rPr>
          <w:szCs w:val="24"/>
          <w:lang w:val="en-CA"/>
        </w:rPr>
        <w:t>.</w:t>
      </w:r>
      <w:r w:rsidR="001A7570" w:rsidRPr="00F60059">
        <w:rPr>
          <w:szCs w:val="24"/>
          <w:lang w:val="en-CA"/>
        </w:rPr>
        <w:t> :</w:t>
      </w:r>
      <w:proofErr w:type="gramEnd"/>
      <w:r w:rsidRPr="00F60059">
        <w:rPr>
          <w:szCs w:val="24"/>
          <w:lang w:val="en-CA"/>
        </w:rPr>
        <w:t xml:space="preserve"> LexisNexis Canada, 2010.</w:t>
      </w:r>
    </w:p>
    <w:p w:rsidR="008A73FD" w:rsidRPr="00F60059" w:rsidRDefault="00E14776" w:rsidP="00E14776">
      <w:pPr>
        <w:pStyle w:val="SCCNormalDoubleSpacing"/>
        <w:spacing w:after="720" w:line="240" w:lineRule="auto"/>
        <w:ind w:left="547" w:hanging="547"/>
        <w:rPr>
          <w:szCs w:val="24"/>
          <w:lang w:val="en-CA"/>
        </w:rPr>
      </w:pPr>
      <w:proofErr w:type="gramStart"/>
      <w:r w:rsidRPr="00F60059">
        <w:rPr>
          <w:szCs w:val="24"/>
          <w:lang w:val="en-CA"/>
        </w:rPr>
        <w:t>Lovett, Deborah K., and Angela </w:t>
      </w:r>
      <w:r w:rsidR="008A73FD" w:rsidRPr="00F60059">
        <w:rPr>
          <w:szCs w:val="24"/>
          <w:lang w:val="en-CA"/>
        </w:rPr>
        <w:t xml:space="preserve">R. </w:t>
      </w:r>
      <w:proofErr w:type="spellStart"/>
      <w:r w:rsidR="008A73FD" w:rsidRPr="00F60059">
        <w:rPr>
          <w:szCs w:val="24"/>
          <w:lang w:val="en-CA"/>
        </w:rPr>
        <w:t>Westmacott</w:t>
      </w:r>
      <w:proofErr w:type="spellEnd"/>
      <w:r w:rsidR="008A73FD" w:rsidRPr="00F60059">
        <w:rPr>
          <w:szCs w:val="24"/>
          <w:lang w:val="en-CA"/>
        </w:rPr>
        <w:t>.</w:t>
      </w:r>
      <w:proofErr w:type="gramEnd"/>
      <w:r w:rsidR="008A73FD" w:rsidRPr="00F60059">
        <w:rPr>
          <w:szCs w:val="24"/>
          <w:lang w:val="en-CA"/>
        </w:rPr>
        <w:t xml:space="preserve">  « Human Rights </w:t>
      </w:r>
      <w:proofErr w:type="gramStart"/>
      <w:r w:rsidR="008A73FD" w:rsidRPr="00F60059">
        <w:rPr>
          <w:szCs w:val="24"/>
          <w:lang w:val="en-CA"/>
        </w:rPr>
        <w:t>Review</w:t>
      </w:r>
      <w:r w:rsidR="001A7570" w:rsidRPr="00F60059">
        <w:rPr>
          <w:szCs w:val="24"/>
          <w:lang w:val="en-CA"/>
        </w:rPr>
        <w:t> :</w:t>
      </w:r>
      <w:proofErr w:type="gramEnd"/>
      <w:r w:rsidR="008A73FD" w:rsidRPr="00F60059">
        <w:rPr>
          <w:szCs w:val="24"/>
          <w:lang w:val="en-CA"/>
        </w:rPr>
        <w:t xml:space="preserve"> A Background Paper », prepared for Administrative Justice Project, Ministry of Attorney General of British Columbia, 2001 (online</w:t>
      </w:r>
      <w:r w:rsidR="001A7570" w:rsidRPr="00F60059">
        <w:rPr>
          <w:szCs w:val="24"/>
          <w:lang w:val="en-CA"/>
        </w:rPr>
        <w:t> :</w:t>
      </w:r>
      <w:r w:rsidR="008A73FD" w:rsidRPr="00F60059">
        <w:rPr>
          <w:szCs w:val="24"/>
          <w:lang w:val="en-CA"/>
        </w:rPr>
        <w:t xml:space="preserve"> </w:t>
      </w:r>
      <w:r w:rsidR="00260629" w:rsidRPr="00F60059">
        <w:rPr>
          <w:lang w:val="en-CA"/>
        </w:rPr>
        <w:t>http://www.llbc.leg.bc.ca/public/PubDocs/bcdocs/350060/hrr.pdf</w:t>
      </w:r>
      <w:r w:rsidR="008A73FD" w:rsidRPr="00F60059">
        <w:rPr>
          <w:szCs w:val="24"/>
          <w:lang w:val="en-CA"/>
        </w:rPr>
        <w:t>).</w:t>
      </w:r>
    </w:p>
    <w:p w:rsidR="00D5435D" w:rsidRPr="00F60059" w:rsidRDefault="004D118D" w:rsidP="00E14776">
      <w:pPr>
        <w:pStyle w:val="SCCNormalDoubleSpacing"/>
        <w:spacing w:after="480"/>
      </w:pPr>
      <w:r w:rsidRPr="00F60059">
        <w:rPr>
          <w:lang w:val="en-CA"/>
        </w:rPr>
        <w:tab/>
      </w:r>
      <w:r w:rsidR="009B57B3" w:rsidRPr="00F60059">
        <w:t>P</w:t>
      </w:r>
      <w:r w:rsidR="0043088E" w:rsidRPr="00F60059">
        <w:t>OURVOI contre un arrêt de la</w:t>
      </w:r>
      <w:r w:rsidR="009B57B3" w:rsidRPr="00F60059">
        <w:t xml:space="preserve"> Cour d’appel de la </w:t>
      </w:r>
      <w:proofErr w:type="spellStart"/>
      <w:r w:rsidR="009B57B3" w:rsidRPr="00F60059">
        <w:t>Colombie</w:t>
      </w:r>
      <w:r w:rsidR="001A7570" w:rsidRPr="00F60059">
        <w:noBreakHyphen/>
      </w:r>
      <w:r w:rsidR="009B57B3" w:rsidRPr="00F60059">
        <w:t>Britannique</w:t>
      </w:r>
      <w:proofErr w:type="spellEnd"/>
      <w:r w:rsidR="009B57B3" w:rsidRPr="00F60059">
        <w:t xml:space="preserve"> </w:t>
      </w:r>
      <w:r w:rsidR="0004157D" w:rsidRPr="00F60059">
        <w:t xml:space="preserve">(les juges </w:t>
      </w:r>
      <w:proofErr w:type="spellStart"/>
      <w:r w:rsidR="0004157D" w:rsidRPr="00F60059">
        <w:t>Huddart</w:t>
      </w:r>
      <w:proofErr w:type="spellEnd"/>
      <w:r w:rsidR="0004157D" w:rsidRPr="00F60059">
        <w:t xml:space="preserve">, </w:t>
      </w:r>
      <w:proofErr w:type="spellStart"/>
      <w:r w:rsidR="0004157D" w:rsidRPr="00F60059">
        <w:t>Frankel</w:t>
      </w:r>
      <w:proofErr w:type="spellEnd"/>
      <w:r w:rsidR="0004157D" w:rsidRPr="00F60059">
        <w:t xml:space="preserve"> et </w:t>
      </w:r>
      <w:proofErr w:type="spellStart"/>
      <w:r w:rsidR="0004157D" w:rsidRPr="00F60059">
        <w:t>Tysoe</w:t>
      </w:r>
      <w:proofErr w:type="spellEnd"/>
      <w:r w:rsidR="0004157D" w:rsidRPr="00F60059">
        <w:t xml:space="preserve">), 2010 BCCA 77, 2 B.C.L.R. (5th) 274, 316 D.L.R. (4th) 648, 284 B.C.A.C. 50, 481 W.A.C. 50, 3 </w:t>
      </w:r>
      <w:proofErr w:type="spellStart"/>
      <w:r w:rsidR="0004157D" w:rsidRPr="00F60059">
        <w:t>Admin</w:t>
      </w:r>
      <w:proofErr w:type="spellEnd"/>
      <w:r w:rsidR="0004157D" w:rsidRPr="00F60059">
        <w:t xml:space="preserve">. L.R. (5th) 49, [2010] B.C.J. </w:t>
      </w:r>
      <w:r w:rsidR="001A7570" w:rsidRPr="00F60059">
        <w:t>No. </w:t>
      </w:r>
      <w:r w:rsidR="0004157D" w:rsidRPr="00F60059">
        <w:t xml:space="preserve">259 (QL), 2010 </w:t>
      </w:r>
      <w:proofErr w:type="spellStart"/>
      <w:r w:rsidR="0004157D" w:rsidRPr="00F60059">
        <w:t>CarswellBC</w:t>
      </w:r>
      <w:proofErr w:type="spellEnd"/>
      <w:r w:rsidR="0004157D" w:rsidRPr="00F60059">
        <w:t xml:space="preserve"> 330, qui a </w:t>
      </w:r>
      <w:r w:rsidR="00E1372C" w:rsidRPr="00F60059">
        <w:t>annulé</w:t>
      </w:r>
      <w:r w:rsidR="0004157D" w:rsidRPr="00F60059">
        <w:t xml:space="preserve"> une </w:t>
      </w:r>
      <w:r w:rsidR="00E1372C" w:rsidRPr="00F60059">
        <w:t>décision</w:t>
      </w:r>
      <w:r w:rsidR="0004157D" w:rsidRPr="00F60059">
        <w:t xml:space="preserve"> de la juge </w:t>
      </w:r>
      <w:proofErr w:type="spellStart"/>
      <w:r w:rsidR="0004157D" w:rsidRPr="00F60059">
        <w:t>Stromberg</w:t>
      </w:r>
      <w:r w:rsidR="001A7570" w:rsidRPr="00F60059">
        <w:noBreakHyphen/>
      </w:r>
      <w:r w:rsidR="0004157D" w:rsidRPr="00F60059">
        <w:t>Stein</w:t>
      </w:r>
      <w:proofErr w:type="spellEnd"/>
      <w:r w:rsidR="0004157D" w:rsidRPr="00F60059">
        <w:t>, 2009 BCSC 377, 93 B.C.L.R. (4th) 38</w:t>
      </w:r>
      <w:r w:rsidR="002A18F2" w:rsidRPr="00F60059">
        <w:t>4</w:t>
      </w:r>
      <w:r w:rsidR="0004157D" w:rsidRPr="00F60059">
        <w:t xml:space="preserve">, 96 </w:t>
      </w:r>
      <w:proofErr w:type="spellStart"/>
      <w:r w:rsidR="0004157D" w:rsidRPr="00F60059">
        <w:t>Admin</w:t>
      </w:r>
      <w:proofErr w:type="spellEnd"/>
      <w:r w:rsidR="0004157D" w:rsidRPr="00F60059">
        <w:t xml:space="preserve">. L.R. (4th) 250, [2009] B.C.J. </w:t>
      </w:r>
      <w:r w:rsidR="001A7570" w:rsidRPr="00F60059">
        <w:t>No. </w:t>
      </w:r>
      <w:r w:rsidR="0004157D" w:rsidRPr="00F60059">
        <w:t xml:space="preserve">554 (QL), 2009 </w:t>
      </w:r>
      <w:proofErr w:type="spellStart"/>
      <w:r w:rsidR="0004157D" w:rsidRPr="00F60059">
        <w:t>CarswellBC</w:t>
      </w:r>
      <w:proofErr w:type="spellEnd"/>
      <w:r w:rsidR="0004157D" w:rsidRPr="00F60059">
        <w:t xml:space="preserve"> 737.  Pourvoi </w:t>
      </w:r>
      <w:r w:rsidR="00FA7838" w:rsidRPr="00F60059">
        <w:t>accueilli</w:t>
      </w:r>
      <w:r w:rsidR="00E1372C" w:rsidRPr="00F60059">
        <w:t>.</w:t>
      </w:r>
    </w:p>
    <w:p w:rsidR="00740F9A" w:rsidRPr="00F60059" w:rsidRDefault="0031185A" w:rsidP="00E14776">
      <w:pPr>
        <w:pStyle w:val="SCCNormalDoubleSpacing"/>
        <w:spacing w:after="480"/>
      </w:pPr>
      <w:r w:rsidRPr="00F60059">
        <w:rPr>
          <w:i/>
        </w:rPr>
        <w:tab/>
      </w:r>
      <w:r w:rsidR="00E14776" w:rsidRPr="00F60059">
        <w:rPr>
          <w:i/>
        </w:rPr>
        <w:t>Scott </w:t>
      </w:r>
      <w:r w:rsidRPr="00F60059">
        <w:rPr>
          <w:i/>
        </w:rPr>
        <w:t>A. Nielsen</w:t>
      </w:r>
      <w:r w:rsidRPr="00F60059">
        <w:t xml:space="preserve"> et </w:t>
      </w:r>
      <w:r w:rsidR="005C62E7" w:rsidRPr="00F60059">
        <w:rPr>
          <w:i/>
        </w:rPr>
        <w:t>Laurel</w:t>
      </w:r>
      <w:r w:rsidRPr="00F60059">
        <w:rPr>
          <w:i/>
        </w:rPr>
        <w:t xml:space="preserve"> Courtenay</w:t>
      </w:r>
      <w:r w:rsidR="004D118D" w:rsidRPr="00F60059">
        <w:t>, pour l’</w:t>
      </w:r>
      <w:r w:rsidRPr="00F60059">
        <w:t>appelant</w:t>
      </w:r>
      <w:r w:rsidR="002A18F2" w:rsidRPr="00F60059">
        <w:t>e</w:t>
      </w:r>
      <w:r w:rsidRPr="00F60059">
        <w:t>.</w:t>
      </w:r>
    </w:p>
    <w:p w:rsidR="00740F9A" w:rsidRPr="00F60059" w:rsidRDefault="0031185A" w:rsidP="00E14776">
      <w:pPr>
        <w:pStyle w:val="SCCNormalDoubleSpacing"/>
        <w:spacing w:after="480"/>
      </w:pPr>
      <w:r w:rsidRPr="00F60059">
        <w:rPr>
          <w:i/>
        </w:rPr>
        <w:tab/>
      </w:r>
      <w:r w:rsidR="005C62E7" w:rsidRPr="00F60059">
        <w:rPr>
          <w:i/>
        </w:rPr>
        <w:t>Lindsay Waddell</w:t>
      </w:r>
      <w:r w:rsidR="005C62E7" w:rsidRPr="00A72B14">
        <w:t>,</w:t>
      </w:r>
      <w:r w:rsidR="005C62E7" w:rsidRPr="00F60059">
        <w:t xml:space="preserve"> </w:t>
      </w:r>
      <w:r w:rsidRPr="00F60059">
        <w:rPr>
          <w:i/>
        </w:rPr>
        <w:t xml:space="preserve">James </w:t>
      </w:r>
      <w:proofErr w:type="spellStart"/>
      <w:r w:rsidRPr="00F60059">
        <w:rPr>
          <w:i/>
        </w:rPr>
        <w:t>Sayre</w:t>
      </w:r>
      <w:proofErr w:type="spellEnd"/>
      <w:r w:rsidRPr="00F60059">
        <w:t xml:space="preserve"> et </w:t>
      </w:r>
      <w:r w:rsidRPr="00F60059">
        <w:rPr>
          <w:i/>
        </w:rPr>
        <w:t>Kevin Love</w:t>
      </w:r>
      <w:r w:rsidR="004D118D" w:rsidRPr="00F60059">
        <w:t xml:space="preserve">, pour les </w:t>
      </w:r>
      <w:r w:rsidRPr="00F60059">
        <w:t>intimé</w:t>
      </w:r>
      <w:r w:rsidR="004D118D" w:rsidRPr="00F60059">
        <w:t xml:space="preserve">s Guiseppe </w:t>
      </w:r>
      <w:proofErr w:type="spellStart"/>
      <w:r w:rsidR="004D118D" w:rsidRPr="00F60059">
        <w:t>Figliola</w:t>
      </w:r>
      <w:proofErr w:type="spellEnd"/>
      <w:r w:rsidR="004D118D" w:rsidRPr="00F60059">
        <w:t xml:space="preserve">, Kimberley </w:t>
      </w:r>
      <w:proofErr w:type="spellStart"/>
      <w:r w:rsidR="004D118D" w:rsidRPr="00F60059">
        <w:t>Sallis</w:t>
      </w:r>
      <w:proofErr w:type="spellEnd"/>
      <w:r w:rsidR="004D118D" w:rsidRPr="00F60059">
        <w:t xml:space="preserve"> et Barry </w:t>
      </w:r>
      <w:proofErr w:type="spellStart"/>
      <w:r w:rsidR="004D118D" w:rsidRPr="00F60059">
        <w:t>Dearden</w:t>
      </w:r>
      <w:proofErr w:type="spellEnd"/>
      <w:r w:rsidRPr="00F60059">
        <w:t>.</w:t>
      </w:r>
    </w:p>
    <w:p w:rsidR="00740F9A" w:rsidRPr="00F60059" w:rsidRDefault="00E14776" w:rsidP="00E14776">
      <w:pPr>
        <w:pStyle w:val="SCCNormalDoubleSpacing"/>
        <w:spacing w:after="480"/>
      </w:pPr>
      <w:r w:rsidRPr="00F60059">
        <w:rPr>
          <w:i/>
        </w:rPr>
        <w:tab/>
        <w:t>Jessica </w:t>
      </w:r>
      <w:r w:rsidR="0031185A" w:rsidRPr="00F60059">
        <w:rPr>
          <w:i/>
        </w:rPr>
        <w:t xml:space="preserve">M. </w:t>
      </w:r>
      <w:proofErr w:type="spellStart"/>
      <w:r w:rsidR="0031185A" w:rsidRPr="00F60059">
        <w:rPr>
          <w:i/>
        </w:rPr>
        <w:t>Connell</w:t>
      </w:r>
      <w:proofErr w:type="spellEnd"/>
      <w:r w:rsidR="005C62E7" w:rsidRPr="00A72B14">
        <w:t xml:space="preserve"> et </w:t>
      </w:r>
      <w:r w:rsidR="005C62E7" w:rsidRPr="00F60059">
        <w:rPr>
          <w:i/>
        </w:rPr>
        <w:t>Katherine Hardie</w:t>
      </w:r>
      <w:r w:rsidR="004D118D" w:rsidRPr="00F60059">
        <w:t xml:space="preserve">, pour l’intimé British Columbia </w:t>
      </w:r>
      <w:proofErr w:type="spellStart"/>
      <w:r w:rsidR="004D118D" w:rsidRPr="00F60059">
        <w:t>Human</w:t>
      </w:r>
      <w:proofErr w:type="spellEnd"/>
      <w:r w:rsidR="004D118D" w:rsidRPr="00F60059">
        <w:t xml:space="preserve"> </w:t>
      </w:r>
      <w:proofErr w:type="spellStart"/>
      <w:r w:rsidR="004D118D" w:rsidRPr="00F60059">
        <w:t>Rights</w:t>
      </w:r>
      <w:proofErr w:type="spellEnd"/>
      <w:r w:rsidR="004D118D" w:rsidRPr="00F60059">
        <w:t xml:space="preserve"> Tribunal</w:t>
      </w:r>
      <w:r w:rsidR="0031185A" w:rsidRPr="00F60059">
        <w:t>.</w:t>
      </w:r>
    </w:p>
    <w:p w:rsidR="004D118D" w:rsidRPr="00F60059" w:rsidRDefault="00E14776" w:rsidP="00E14776">
      <w:pPr>
        <w:pStyle w:val="SCCNormalDoubleSpacing"/>
        <w:spacing w:after="480"/>
      </w:pPr>
      <w:r w:rsidRPr="00F60059">
        <w:rPr>
          <w:i/>
        </w:rPr>
        <w:lastRenderedPageBreak/>
        <w:tab/>
        <w:t>Jonathan </w:t>
      </w:r>
      <w:r w:rsidR="004D118D" w:rsidRPr="00F60059">
        <w:rPr>
          <w:i/>
        </w:rPr>
        <w:t>G. Penner</w:t>
      </w:r>
      <w:r w:rsidR="004D118D" w:rsidRPr="00F60059">
        <w:t>, pour l</w:t>
      </w:r>
      <w:r w:rsidR="005C62E7" w:rsidRPr="00F60059">
        <w:t>’</w:t>
      </w:r>
      <w:r w:rsidR="004D118D" w:rsidRPr="00F60059">
        <w:t xml:space="preserve">intervenant le procureur général de la </w:t>
      </w:r>
      <w:proofErr w:type="spellStart"/>
      <w:r w:rsidR="004D118D" w:rsidRPr="00F60059">
        <w:t>Colombie</w:t>
      </w:r>
      <w:r w:rsidR="001A7570" w:rsidRPr="00F60059">
        <w:noBreakHyphen/>
      </w:r>
      <w:r w:rsidR="004D118D" w:rsidRPr="00F60059">
        <w:t>Britannique</w:t>
      </w:r>
      <w:proofErr w:type="spellEnd"/>
      <w:r w:rsidR="004D118D" w:rsidRPr="00F60059">
        <w:t>.</w:t>
      </w:r>
    </w:p>
    <w:p w:rsidR="00740F9A" w:rsidRPr="00F60059" w:rsidRDefault="0031185A" w:rsidP="00E14776">
      <w:pPr>
        <w:pStyle w:val="SCCNormalDoubleSpacing"/>
        <w:spacing w:after="480"/>
      </w:pPr>
      <w:r w:rsidRPr="00F60059">
        <w:rPr>
          <w:i/>
        </w:rPr>
        <w:tab/>
        <w:t>Peter</w:t>
      </w:r>
      <w:r w:rsidR="00E14776" w:rsidRPr="00F60059">
        <w:rPr>
          <w:i/>
        </w:rPr>
        <w:t> </w:t>
      </w:r>
      <w:r w:rsidRPr="00F60059">
        <w:rPr>
          <w:i/>
        </w:rPr>
        <w:t>A. Gall</w:t>
      </w:r>
      <w:r w:rsidRPr="00A72B14">
        <w:t xml:space="preserve">, </w:t>
      </w:r>
      <w:proofErr w:type="gramStart"/>
      <w:r w:rsidR="004D118D" w:rsidRPr="00F60059">
        <w:rPr>
          <w:i/>
        </w:rPr>
        <w:t>c.r.</w:t>
      </w:r>
      <w:r w:rsidR="004D118D" w:rsidRPr="00A72B14">
        <w:t>,</w:t>
      </w:r>
      <w:proofErr w:type="gramEnd"/>
      <w:r w:rsidRPr="00F60059">
        <w:t xml:space="preserve"> et </w:t>
      </w:r>
      <w:proofErr w:type="spellStart"/>
      <w:r w:rsidRPr="00F60059">
        <w:rPr>
          <w:i/>
        </w:rPr>
        <w:t>Nitya</w:t>
      </w:r>
      <w:proofErr w:type="spellEnd"/>
      <w:r w:rsidRPr="00F60059">
        <w:rPr>
          <w:i/>
        </w:rPr>
        <w:t xml:space="preserve"> </w:t>
      </w:r>
      <w:proofErr w:type="spellStart"/>
      <w:r w:rsidRPr="00F60059">
        <w:rPr>
          <w:i/>
        </w:rPr>
        <w:t>Iyer</w:t>
      </w:r>
      <w:proofErr w:type="spellEnd"/>
      <w:r w:rsidR="004D118D" w:rsidRPr="00F60059">
        <w:t>, pour l’</w:t>
      </w:r>
      <w:r w:rsidRPr="00F60059">
        <w:t>intervenante Coalition of BC Business</w:t>
      </w:r>
      <w:r w:rsidR="004D118D" w:rsidRPr="00F60059">
        <w:t>es</w:t>
      </w:r>
      <w:r w:rsidRPr="00F60059">
        <w:t>.</w:t>
      </w:r>
    </w:p>
    <w:p w:rsidR="00740F9A" w:rsidRPr="00F60059" w:rsidRDefault="0031185A" w:rsidP="00E14776">
      <w:pPr>
        <w:pStyle w:val="SCCNormalDoubleSpacing"/>
        <w:spacing w:after="480"/>
      </w:pPr>
      <w:r w:rsidRPr="00F60059">
        <w:rPr>
          <w:i/>
        </w:rPr>
        <w:tab/>
      </w:r>
      <w:r w:rsidR="005C62E7" w:rsidRPr="00F60059">
        <w:rPr>
          <w:i/>
        </w:rPr>
        <w:t xml:space="preserve">Sheila </w:t>
      </w:r>
      <w:proofErr w:type="spellStart"/>
      <w:r w:rsidR="005C62E7" w:rsidRPr="00F60059">
        <w:rPr>
          <w:i/>
        </w:rPr>
        <w:t>Osborne</w:t>
      </w:r>
      <w:r w:rsidR="001A7570" w:rsidRPr="00F60059">
        <w:rPr>
          <w:i/>
        </w:rPr>
        <w:noBreakHyphen/>
      </w:r>
      <w:r w:rsidR="005C62E7" w:rsidRPr="00F60059">
        <w:rPr>
          <w:i/>
        </w:rPr>
        <w:t>Brown</w:t>
      </w:r>
      <w:proofErr w:type="spellEnd"/>
      <w:r w:rsidR="005C62E7" w:rsidRPr="00F60059">
        <w:t xml:space="preserve"> et </w:t>
      </w:r>
      <w:r w:rsidRPr="00F60059">
        <w:rPr>
          <w:i/>
        </w:rPr>
        <w:t>Philippe Dufresne</w:t>
      </w:r>
      <w:r w:rsidRPr="00F60059">
        <w:t>, pour l</w:t>
      </w:r>
      <w:r w:rsidR="004D118D" w:rsidRPr="00F60059">
        <w:t>’</w:t>
      </w:r>
      <w:r w:rsidRPr="00F60059">
        <w:t>intervenante</w:t>
      </w:r>
      <w:r w:rsidR="004D118D" w:rsidRPr="00F60059">
        <w:t xml:space="preserve"> la</w:t>
      </w:r>
      <w:r w:rsidRPr="00F60059">
        <w:t xml:space="preserve"> Commission canadienne des droits de la personne.</w:t>
      </w:r>
    </w:p>
    <w:p w:rsidR="00740F9A" w:rsidRPr="00F60059" w:rsidRDefault="0031185A" w:rsidP="00E14776">
      <w:pPr>
        <w:pStyle w:val="SCCNormalDoubleSpacing"/>
        <w:spacing w:after="480"/>
        <w:rPr>
          <w:lang w:val="en-CA"/>
        </w:rPr>
      </w:pPr>
      <w:r w:rsidRPr="00F60059">
        <w:rPr>
          <w:i/>
        </w:rPr>
        <w:tab/>
      </w:r>
      <w:r w:rsidRPr="00F60059">
        <w:rPr>
          <w:i/>
          <w:lang w:val="en-CA"/>
        </w:rPr>
        <w:t>Janice</w:t>
      </w:r>
      <w:r w:rsidR="00E14776" w:rsidRPr="00F60059">
        <w:rPr>
          <w:i/>
          <w:lang w:val="en-CA"/>
        </w:rPr>
        <w:t> </w:t>
      </w:r>
      <w:r w:rsidRPr="00F60059">
        <w:rPr>
          <w:i/>
          <w:lang w:val="en-CA"/>
        </w:rPr>
        <w:t>R. Ashcroft</w:t>
      </w:r>
      <w:r w:rsidR="004D118D" w:rsidRPr="00F60059">
        <w:rPr>
          <w:lang w:val="en-CA"/>
        </w:rPr>
        <w:t xml:space="preserve">, pour </w:t>
      </w:r>
      <w:proofErr w:type="spellStart"/>
      <w:r w:rsidR="004D118D" w:rsidRPr="00F60059">
        <w:rPr>
          <w:lang w:val="en-CA"/>
        </w:rPr>
        <w:t>l’</w:t>
      </w:r>
      <w:r w:rsidRPr="00F60059">
        <w:rPr>
          <w:lang w:val="en-CA"/>
        </w:rPr>
        <w:t>intervenante</w:t>
      </w:r>
      <w:proofErr w:type="spellEnd"/>
      <w:r w:rsidRPr="00F60059">
        <w:rPr>
          <w:lang w:val="en-CA"/>
        </w:rPr>
        <w:t xml:space="preserve"> Alberta Human Rights Commission.</w:t>
      </w:r>
    </w:p>
    <w:p w:rsidR="004D118D" w:rsidRPr="00F60059" w:rsidRDefault="004D118D" w:rsidP="00E14776">
      <w:pPr>
        <w:pStyle w:val="SCCNormalDoubleSpacing"/>
        <w:spacing w:after="480"/>
      </w:pPr>
      <w:r w:rsidRPr="00F60059">
        <w:rPr>
          <w:i/>
          <w:lang w:val="en-CA"/>
        </w:rPr>
        <w:tab/>
      </w:r>
      <w:r w:rsidRPr="00F60059">
        <w:rPr>
          <w:i/>
        </w:rPr>
        <w:t>Ryan D.</w:t>
      </w:r>
      <w:r w:rsidR="005C62E7" w:rsidRPr="00F60059">
        <w:rPr>
          <w:i/>
        </w:rPr>
        <w:t> </w:t>
      </w:r>
      <w:r w:rsidRPr="00F60059">
        <w:rPr>
          <w:i/>
        </w:rPr>
        <w:t>W. Dalziel</w:t>
      </w:r>
      <w:r w:rsidRPr="00F60059">
        <w:t xml:space="preserve">, pour l’intervenante Vancouver Area </w:t>
      </w:r>
      <w:proofErr w:type="spellStart"/>
      <w:r w:rsidRPr="00F60059">
        <w:t>Human</w:t>
      </w:r>
      <w:proofErr w:type="spellEnd"/>
      <w:r w:rsidRPr="00F60059">
        <w:t xml:space="preserve"> </w:t>
      </w:r>
      <w:proofErr w:type="spellStart"/>
      <w:r w:rsidRPr="00F60059">
        <w:t>Rights</w:t>
      </w:r>
      <w:proofErr w:type="spellEnd"/>
      <w:r w:rsidRPr="00F60059">
        <w:t xml:space="preserve"> Coalition Society.</w:t>
      </w:r>
    </w:p>
    <w:p w:rsidR="00E208A8" w:rsidRPr="00F60059" w:rsidRDefault="00345203" w:rsidP="00E208A8">
      <w:pPr>
        <w:pStyle w:val="JudgeJuge"/>
        <w:spacing w:before="480"/>
        <w:jc w:val="both"/>
        <w:rPr>
          <w:lang w:val="fr-CA"/>
        </w:rPr>
      </w:pPr>
      <w:r w:rsidRPr="00F60059">
        <w:rPr>
          <w:lang w:val="fr-CA"/>
        </w:rPr>
        <w:tab/>
      </w:r>
      <w:r w:rsidRPr="00F60059">
        <w:rPr>
          <w:smallCaps w:val="0"/>
          <w:lang w:val="fr-CA"/>
        </w:rPr>
        <w:t xml:space="preserve">Version française du jugement des juges </w:t>
      </w:r>
      <w:proofErr w:type="spellStart"/>
      <w:r w:rsidRPr="00F60059">
        <w:rPr>
          <w:smallCaps w:val="0"/>
          <w:lang w:val="fr-CA"/>
        </w:rPr>
        <w:t>LeBel</w:t>
      </w:r>
      <w:proofErr w:type="spellEnd"/>
      <w:r w:rsidRPr="00F60059">
        <w:rPr>
          <w:smallCaps w:val="0"/>
          <w:lang w:val="fr-CA"/>
        </w:rPr>
        <w:t xml:space="preserve">, Deschamps, Abella, Charron et </w:t>
      </w:r>
      <w:proofErr w:type="spellStart"/>
      <w:r w:rsidRPr="00F60059">
        <w:rPr>
          <w:smallCaps w:val="0"/>
          <w:lang w:val="fr-CA"/>
        </w:rPr>
        <w:t>Rothstein</w:t>
      </w:r>
      <w:proofErr w:type="spellEnd"/>
      <w:r w:rsidRPr="00F60059">
        <w:rPr>
          <w:smallCaps w:val="0"/>
          <w:lang w:val="fr-CA"/>
        </w:rPr>
        <w:t xml:space="preserve"> rendu par</w:t>
      </w:r>
      <w:r w:rsidR="00E208A8" w:rsidRPr="00F60059">
        <w:rPr>
          <w:lang w:val="fr-CA"/>
        </w:rPr>
        <w:t xml:space="preserve"> </w:t>
      </w:r>
    </w:p>
    <w:p w:rsidR="00E208A8" w:rsidRPr="00F60059" w:rsidRDefault="00345203" w:rsidP="00E208A8">
      <w:pPr>
        <w:pStyle w:val="ParaNoNdepar-AltN"/>
        <w:rPr>
          <w:lang w:val="fr-CA"/>
        </w:rPr>
      </w:pPr>
      <w:r w:rsidRPr="00F60059">
        <w:rPr>
          <w:smallCaps/>
          <w:lang w:val="fr-CA"/>
        </w:rPr>
        <w:t>La juge Abella</w:t>
      </w:r>
      <w:r w:rsidRPr="00F60059">
        <w:rPr>
          <w:lang w:val="fr-CA"/>
        </w:rPr>
        <w:t xml:space="preserve"> — </w:t>
      </w:r>
      <w:r w:rsidR="00E208A8" w:rsidRPr="00F60059">
        <w:rPr>
          <w:lang w:val="fr-CA"/>
        </w:rPr>
        <w:t xml:space="preserve">Quiconque est partie à un litige souhaite que les questions juridiques en cause soient tranchées le plus équitablement et rapidement possible par un décideur faisant autorité et, par souci d’équité, veut l’assurance que la décision rendue sera définitive et exécutoire, exception faite du droit d’en demander le contrôle judiciaire ou d’interjeter appel.  Personne ne s’attend à ce que les mêmes </w:t>
      </w:r>
      <w:r w:rsidR="00E208A8" w:rsidRPr="00F60059">
        <w:rPr>
          <w:lang w:val="fr-CA"/>
        </w:rPr>
        <w:lastRenderedPageBreak/>
        <w:t>questions soient réexaminées devant un autre forum à la demande d’une partie déboutée cherchant à obtenir un résultat différent.  Il y a cependant des cas où la justice impose de reprendre le litige.</w:t>
      </w:r>
    </w:p>
    <w:p w:rsidR="00E208A8" w:rsidRPr="00F60059" w:rsidRDefault="00E208A8" w:rsidP="00E208A8">
      <w:pPr>
        <w:pStyle w:val="ParaNoNdepar-AltN"/>
        <w:rPr>
          <w:lang w:val="fr-CA"/>
        </w:rPr>
      </w:pPr>
      <w:r w:rsidRPr="00F60059">
        <w:rPr>
          <w:lang w:val="fr-CA"/>
        </w:rPr>
        <w:t xml:space="preserve">En </w:t>
      </w:r>
      <w:proofErr w:type="spellStart"/>
      <w:r w:rsidRPr="00F60059">
        <w:rPr>
          <w:lang w:val="fr-CA"/>
        </w:rPr>
        <w:t>Colombie</w:t>
      </w:r>
      <w:r w:rsidRPr="00F60059">
        <w:rPr>
          <w:lang w:val="fr-CA"/>
        </w:rPr>
        <w:noBreakHyphen/>
        <w:t>Britannique</w:t>
      </w:r>
      <w:proofErr w:type="spellEnd"/>
      <w:r w:rsidRPr="00F60059">
        <w:rPr>
          <w:lang w:val="fr-CA"/>
        </w:rPr>
        <w:t xml:space="preserve">, la loi confère au tribunal des droits de la personne le pouvoir discrétionnaire de refuser d’entendre une plainte sur le fond de laquelle un décideur s’est déjà prononcé de façon appropriée.  En l’espèce, la Cour est appelée à déterminer comment doit s’exercer ce pouvoir discrétionnaire lorsqu’un autre tribunal administratif, qui a une compétence concurrente en matière de droits de la personne, a déjà rendu une décision. </w:t>
      </w:r>
    </w:p>
    <w:p w:rsidR="00E208A8" w:rsidRPr="00F60059" w:rsidRDefault="00E208A8" w:rsidP="00E208A8">
      <w:pPr>
        <w:pStyle w:val="TitleTitre-AltT"/>
        <w:keepNext/>
        <w:spacing w:after="720"/>
        <w:rPr>
          <w:u w:val="single"/>
          <w:lang w:val="fr-CA"/>
        </w:rPr>
      </w:pPr>
      <w:r w:rsidRPr="00F60059">
        <w:rPr>
          <w:u w:val="single"/>
          <w:lang w:val="fr-CA"/>
        </w:rPr>
        <w:t>Contexte</w:t>
      </w:r>
    </w:p>
    <w:p w:rsidR="00E208A8" w:rsidRPr="00F60059" w:rsidRDefault="00E208A8" w:rsidP="00E208A8">
      <w:pPr>
        <w:pStyle w:val="ParaNoNdepar-AltN"/>
        <w:widowControl w:val="0"/>
        <w:rPr>
          <w:lang w:val="fr-CA"/>
        </w:rPr>
      </w:pPr>
      <w:r w:rsidRPr="00F60059">
        <w:rPr>
          <w:lang w:val="fr-CA"/>
        </w:rPr>
        <w:t>Gu</w:t>
      </w:r>
      <w:r w:rsidR="00A72B14">
        <w:rPr>
          <w:lang w:val="fr-CA"/>
        </w:rPr>
        <w:t>i</w:t>
      </w:r>
      <w:r w:rsidRPr="00F60059">
        <w:rPr>
          <w:lang w:val="fr-CA"/>
        </w:rPr>
        <w:t xml:space="preserve">seppe </w:t>
      </w:r>
      <w:proofErr w:type="spellStart"/>
      <w:r w:rsidRPr="00F60059">
        <w:rPr>
          <w:lang w:val="fr-CA"/>
        </w:rPr>
        <w:t>Figliola</w:t>
      </w:r>
      <w:proofErr w:type="spellEnd"/>
      <w:r w:rsidRPr="00F60059">
        <w:rPr>
          <w:lang w:val="fr-CA"/>
        </w:rPr>
        <w:t xml:space="preserve">, Kimberley </w:t>
      </w:r>
      <w:proofErr w:type="spellStart"/>
      <w:r w:rsidRPr="00F60059">
        <w:rPr>
          <w:lang w:val="fr-CA"/>
        </w:rPr>
        <w:t>Sallis</w:t>
      </w:r>
      <w:proofErr w:type="spellEnd"/>
      <w:r w:rsidRPr="00F60059">
        <w:rPr>
          <w:lang w:val="fr-CA"/>
        </w:rPr>
        <w:t xml:space="preserve"> et Barry </w:t>
      </w:r>
      <w:proofErr w:type="spellStart"/>
      <w:r w:rsidRPr="00F60059">
        <w:rPr>
          <w:lang w:val="fr-CA"/>
        </w:rPr>
        <w:t>Dearden</w:t>
      </w:r>
      <w:proofErr w:type="spellEnd"/>
      <w:r w:rsidRPr="00F60059">
        <w:rPr>
          <w:lang w:val="fr-CA"/>
        </w:rPr>
        <w:t xml:space="preserve"> sont aux prises avec des douleurs chroniques.  M. </w:t>
      </w:r>
      <w:proofErr w:type="spellStart"/>
      <w:r w:rsidRPr="00F60059">
        <w:rPr>
          <w:lang w:val="fr-CA"/>
        </w:rPr>
        <w:t>Figliola</w:t>
      </w:r>
      <w:proofErr w:type="spellEnd"/>
      <w:r w:rsidRPr="00F60059">
        <w:rPr>
          <w:lang w:val="fr-CA"/>
        </w:rPr>
        <w:t xml:space="preserve"> s’est blessé dans la région lombaire en tentant d’installer une tige d’aération en acier de soixante livres au centre d’un rouleau de papier.  M</w:t>
      </w:r>
      <w:r w:rsidRPr="00F60059">
        <w:rPr>
          <w:vertAlign w:val="superscript"/>
          <w:lang w:val="fr-CA"/>
        </w:rPr>
        <w:t>me</w:t>
      </w:r>
      <w:r w:rsidRPr="00F60059">
        <w:rPr>
          <w:lang w:val="fr-CA"/>
        </w:rPr>
        <w:t> </w:t>
      </w:r>
      <w:proofErr w:type="spellStart"/>
      <w:r w:rsidRPr="00F60059">
        <w:rPr>
          <w:lang w:val="fr-CA"/>
        </w:rPr>
        <w:t>Sallis</w:t>
      </w:r>
      <w:proofErr w:type="spellEnd"/>
      <w:r w:rsidRPr="00F60059">
        <w:rPr>
          <w:lang w:val="fr-CA"/>
        </w:rPr>
        <w:t xml:space="preserve"> est tombée dans un escalier glissant en livrant du courrier pour Postes Canada.  M. </w:t>
      </w:r>
      <w:proofErr w:type="spellStart"/>
      <w:r w:rsidRPr="00F60059">
        <w:rPr>
          <w:lang w:val="fr-CA"/>
        </w:rPr>
        <w:t>Dearden</w:t>
      </w:r>
      <w:proofErr w:type="spellEnd"/>
      <w:r w:rsidRPr="00F60059">
        <w:rPr>
          <w:lang w:val="fr-CA"/>
        </w:rPr>
        <w:t xml:space="preserve">, qui travaillait lui aussi pour Postes Canada, a commencé à éprouver des douleurs au dos en livrant du courrier. </w:t>
      </w:r>
    </w:p>
    <w:p w:rsidR="00E208A8" w:rsidRPr="00F60059" w:rsidRDefault="00E208A8" w:rsidP="00E208A8">
      <w:pPr>
        <w:pStyle w:val="ParaNoNdepar-AltN"/>
        <w:rPr>
          <w:lang w:val="fr-CA"/>
        </w:rPr>
      </w:pPr>
      <w:r w:rsidRPr="00F60059">
        <w:rPr>
          <w:lang w:val="fr-CA"/>
        </w:rPr>
        <w:t xml:space="preserve">Chacun d’eux a soumis à la </w:t>
      </w:r>
      <w:proofErr w:type="spellStart"/>
      <w:r w:rsidRPr="00F60059">
        <w:rPr>
          <w:lang w:val="fr-CA"/>
        </w:rPr>
        <w:t>Workers</w:t>
      </w:r>
      <w:proofErr w:type="spellEnd"/>
      <w:r w:rsidRPr="00F60059">
        <w:rPr>
          <w:lang w:val="fr-CA"/>
        </w:rPr>
        <w:t xml:space="preserve">’ Compensation </w:t>
      </w:r>
      <w:proofErr w:type="spellStart"/>
      <w:r w:rsidRPr="00F60059">
        <w:rPr>
          <w:lang w:val="fr-CA"/>
        </w:rPr>
        <w:t>Board</w:t>
      </w:r>
      <w:proofErr w:type="spellEnd"/>
      <w:r w:rsidRPr="00F60059">
        <w:rPr>
          <w:lang w:val="fr-CA"/>
        </w:rPr>
        <w:t xml:space="preserve"> de la </w:t>
      </w:r>
      <w:proofErr w:type="spellStart"/>
      <w:r w:rsidRPr="00F60059">
        <w:rPr>
          <w:lang w:val="fr-CA"/>
        </w:rPr>
        <w:t>Colombie</w:t>
      </w:r>
      <w:r w:rsidRPr="00F60059">
        <w:rPr>
          <w:lang w:val="fr-CA"/>
        </w:rPr>
        <w:noBreakHyphen/>
        <w:t>Britannique</w:t>
      </w:r>
      <w:proofErr w:type="spellEnd"/>
      <w:r w:rsidRPr="00F60059">
        <w:rPr>
          <w:lang w:val="fr-CA"/>
        </w:rPr>
        <w:t xml:space="preserve"> (la « Commission ») une demande d’indemnisation fondée, entre autres, sur leurs douleurs chroniques. L’employeur a été avisé dans chaque cas. </w:t>
      </w:r>
    </w:p>
    <w:p w:rsidR="00E208A8" w:rsidRPr="00F60059" w:rsidRDefault="00E208A8" w:rsidP="00E208A8">
      <w:pPr>
        <w:pStyle w:val="ParaNoNdepar-AltN"/>
        <w:rPr>
          <w:lang w:val="fr-CA"/>
        </w:rPr>
      </w:pPr>
      <w:r w:rsidRPr="00F60059">
        <w:rPr>
          <w:lang w:val="fr-CA"/>
        </w:rPr>
        <w:lastRenderedPageBreak/>
        <w:t>La politique de la Commission, établie par le comité de direction de l’organisme, prévoit une indemnité d’un montant fixe dans les cas de douleur chronique :</w:t>
      </w:r>
    </w:p>
    <w:p w:rsidR="00E208A8" w:rsidRPr="00F60059" w:rsidRDefault="00E208A8" w:rsidP="00E208A8">
      <w:pPr>
        <w:pStyle w:val="Citation-AltC"/>
        <w:spacing w:after="240"/>
        <w:ind w:hanging="1166"/>
        <w:rPr>
          <w:lang w:val="fr-CA"/>
        </w:rPr>
      </w:pPr>
      <w:r w:rsidRPr="00F60059">
        <w:rPr>
          <w:lang w:val="fr-CA"/>
        </w:rPr>
        <w:tab/>
      </w:r>
      <w:r w:rsidR="001973F3" w:rsidRPr="00F60059">
        <w:rPr>
          <w:lang w:val="fr-CA"/>
        </w:rPr>
        <w:t>[</w:t>
      </w:r>
      <w:r w:rsidR="001973F3" w:rsidRPr="00F60059">
        <w:rPr>
          <w:smallCaps/>
          <w:lang w:val="fr-CA"/>
        </w:rPr>
        <w:t>traduction</w:t>
      </w:r>
      <w:r w:rsidR="001973F3" w:rsidRPr="00F60059">
        <w:rPr>
          <w:lang w:val="fr-CA"/>
        </w:rPr>
        <w:t xml:space="preserve">]  </w:t>
      </w:r>
      <w:r w:rsidRPr="00F60059">
        <w:rPr>
          <w:lang w:val="fr-CA"/>
        </w:rPr>
        <w:t xml:space="preserve">Lorsqu’un agent de la Commission conclut qu’un travailleur a droit à l’indemnité pour douleur chronique [. . .], </w:t>
      </w:r>
      <w:proofErr w:type="spellStart"/>
      <w:r w:rsidRPr="00F60059">
        <w:rPr>
          <w:lang w:val="fr-CA"/>
        </w:rPr>
        <w:t>celle</w:t>
      </w:r>
      <w:r w:rsidRPr="00F60059">
        <w:rPr>
          <w:lang w:val="fr-CA"/>
        </w:rPr>
        <w:noBreakHyphen/>
        <w:t>ci</w:t>
      </w:r>
      <w:proofErr w:type="spellEnd"/>
      <w:r w:rsidRPr="00F60059">
        <w:rPr>
          <w:lang w:val="fr-CA"/>
        </w:rPr>
        <w:t xml:space="preserve"> équivaut à 2,5 % de l’indemnité à laquelle il aurait droit en cas d’invalidité totale.  </w:t>
      </w:r>
    </w:p>
    <w:p w:rsidR="00E208A8" w:rsidRPr="00F60059" w:rsidRDefault="00E208A8" w:rsidP="00E208A8">
      <w:pPr>
        <w:pStyle w:val="Citation-AltC"/>
        <w:rPr>
          <w:lang w:val="en-US"/>
        </w:rPr>
      </w:pPr>
      <w:proofErr w:type="gramStart"/>
      <w:r w:rsidRPr="00F60059">
        <w:t>(</w:t>
      </w:r>
      <w:r w:rsidRPr="00F60059">
        <w:rPr>
          <w:i/>
          <w:iCs/>
        </w:rPr>
        <w:t>Rehabilitation Services and Claims Manual</w:t>
      </w:r>
      <w:r w:rsidRPr="00F60059">
        <w:t>, vol.</w:t>
      </w:r>
      <w:proofErr w:type="gramEnd"/>
      <w:r w:rsidRPr="00F60059">
        <w:t> </w:t>
      </w:r>
      <w:r w:rsidRPr="00F60059">
        <w:rPr>
          <w:lang w:val="fr-CA"/>
        </w:rPr>
        <w:t>I, politique n</w:t>
      </w:r>
      <w:r w:rsidRPr="00F60059">
        <w:rPr>
          <w:vertAlign w:val="superscript"/>
          <w:lang w:val="fr-CA"/>
        </w:rPr>
        <w:t>o</w:t>
      </w:r>
      <w:r w:rsidRPr="00F60059">
        <w:rPr>
          <w:lang w:val="fr-CA"/>
        </w:rPr>
        <w:t xml:space="preserve"> 39.01, </w:t>
      </w:r>
      <w:proofErr w:type="spellStart"/>
      <w:r w:rsidRPr="00F60059">
        <w:rPr>
          <w:lang w:val="fr-CA"/>
        </w:rPr>
        <w:t>Chronic</w:t>
      </w:r>
      <w:proofErr w:type="spellEnd"/>
      <w:r w:rsidRPr="00F60059">
        <w:rPr>
          <w:lang w:val="fr-CA"/>
        </w:rPr>
        <w:t xml:space="preserve"> Pain, al. 4</w:t>
      </w:r>
      <w:r w:rsidRPr="00F60059">
        <w:rPr>
          <w:i/>
          <w:lang w:val="fr-CA"/>
        </w:rPr>
        <w:t>b</w:t>
      </w:r>
      <w:r w:rsidRPr="00F60059">
        <w:rPr>
          <w:lang w:val="fr-CA"/>
        </w:rPr>
        <w:t>); remplacée par vol. </w:t>
      </w:r>
      <w:proofErr w:type="gramStart"/>
      <w:r w:rsidRPr="00F60059">
        <w:rPr>
          <w:lang w:val="en-US"/>
        </w:rPr>
        <w:t xml:space="preserve">II, </w:t>
      </w:r>
      <w:r w:rsidRPr="00F60059">
        <w:rPr>
          <w:lang w:val="fr-CA"/>
        </w:rPr>
        <w:t>politique n</w:t>
      </w:r>
      <w:r w:rsidRPr="00F60059">
        <w:rPr>
          <w:vertAlign w:val="superscript"/>
          <w:lang w:val="fr-CA"/>
        </w:rPr>
        <w:t>o</w:t>
      </w:r>
      <w:r w:rsidRPr="00F60059">
        <w:rPr>
          <w:lang w:val="fr-CA"/>
        </w:rPr>
        <w:t> </w:t>
      </w:r>
      <w:r w:rsidRPr="00F60059">
        <w:rPr>
          <w:lang w:val="en-US"/>
        </w:rPr>
        <w:t xml:space="preserve">39.02, Chronic Pain (en </w:t>
      </w:r>
      <w:proofErr w:type="spellStart"/>
      <w:r w:rsidRPr="00F60059">
        <w:rPr>
          <w:lang w:val="en-US"/>
        </w:rPr>
        <w:t>ligne</w:t>
      </w:r>
      <w:proofErr w:type="spellEnd"/>
      <w:r w:rsidRPr="00F60059">
        <w:rPr>
          <w:lang w:val="en-US"/>
        </w:rPr>
        <w:t>).)</w:t>
      </w:r>
      <w:proofErr w:type="gramEnd"/>
    </w:p>
    <w:p w:rsidR="00E208A8" w:rsidRPr="00F60059" w:rsidRDefault="00E208A8" w:rsidP="00E208A8">
      <w:pPr>
        <w:pStyle w:val="ParaNoNdepar-AltN"/>
        <w:rPr>
          <w:lang w:val="fr-CA"/>
        </w:rPr>
      </w:pPr>
      <w:r w:rsidRPr="00F60059">
        <w:rPr>
          <w:lang w:val="fr-CA"/>
        </w:rPr>
        <w:t>En application de cette politique, les plaignants ont touché, pour leurs douleurs chroniques, une indemnité d’un montant fixe équivalant à 2,5 % du montant qui aurait été alloué en cas d’invalidité totale.  Pour la Commission, l’invalidité partielle s’exprime sous forme de pourcentage de l’incapacité d’un travailleur totalement invalide.  On vise ainsi à rendre compte de [</w:t>
      </w:r>
      <w:r w:rsidRPr="00F60059">
        <w:rPr>
          <w:smallCaps/>
          <w:lang w:val="fr-CA"/>
        </w:rPr>
        <w:t>traduction</w:t>
      </w:r>
      <w:r w:rsidRPr="00F60059">
        <w:rPr>
          <w:lang w:val="fr-CA"/>
        </w:rPr>
        <w:t>] « la mesure dans laquelle une blessure particulière est susceptible de nuire à la capacité du travailleur de gagner un revenu » (</w:t>
      </w:r>
      <w:proofErr w:type="spellStart"/>
      <w:r w:rsidRPr="00F60059">
        <w:rPr>
          <w:i/>
          <w:iCs/>
          <w:lang w:val="fr-CA"/>
        </w:rPr>
        <w:t>Rehabilitation</w:t>
      </w:r>
      <w:proofErr w:type="spellEnd"/>
      <w:r w:rsidRPr="00F60059">
        <w:rPr>
          <w:i/>
          <w:iCs/>
          <w:lang w:val="fr-CA"/>
        </w:rPr>
        <w:t xml:space="preserve"> Services and Claims </w:t>
      </w:r>
      <w:proofErr w:type="spellStart"/>
      <w:r w:rsidRPr="00F60059">
        <w:rPr>
          <w:i/>
          <w:iCs/>
          <w:lang w:val="fr-CA"/>
        </w:rPr>
        <w:t>Manual</w:t>
      </w:r>
      <w:proofErr w:type="spellEnd"/>
      <w:r w:rsidRPr="00F60059">
        <w:rPr>
          <w:lang w:val="fr-CA"/>
        </w:rPr>
        <w:t>, vol. II, politique n</w:t>
      </w:r>
      <w:r w:rsidRPr="00F60059">
        <w:rPr>
          <w:vertAlign w:val="superscript"/>
          <w:lang w:val="fr-CA"/>
        </w:rPr>
        <w:t>o</w:t>
      </w:r>
      <w:r w:rsidRPr="00F60059">
        <w:rPr>
          <w:lang w:val="fr-CA"/>
        </w:rPr>
        <w:t> 39.00).</w:t>
      </w:r>
    </w:p>
    <w:p w:rsidR="00E208A8" w:rsidRPr="00F60059" w:rsidRDefault="00E208A8" w:rsidP="00E208A8">
      <w:pPr>
        <w:pStyle w:val="ParaNoNdepar-AltN"/>
        <w:rPr>
          <w:lang w:val="fr-CA"/>
        </w:rPr>
      </w:pPr>
      <w:r w:rsidRPr="00F60059">
        <w:rPr>
          <w:lang w:val="fr-CA"/>
        </w:rPr>
        <w:t xml:space="preserve">Chaque plaignant a interjeté appel devant la </w:t>
      </w:r>
      <w:proofErr w:type="spellStart"/>
      <w:r w:rsidRPr="00F60059">
        <w:rPr>
          <w:i/>
          <w:lang w:val="fr-CA"/>
        </w:rPr>
        <w:t>Review</w:t>
      </w:r>
      <w:proofErr w:type="spellEnd"/>
      <w:r w:rsidRPr="00F60059">
        <w:rPr>
          <w:i/>
          <w:lang w:val="fr-CA"/>
        </w:rPr>
        <w:t xml:space="preserve"> Division</w:t>
      </w:r>
      <w:r w:rsidRPr="00F60059">
        <w:rPr>
          <w:lang w:val="fr-CA"/>
        </w:rPr>
        <w:t xml:space="preserve"> de la Commission (la « Section de révision »), soutenant que la politique de l’indemnité fixe pour les douleurs chroniques était manifestement déraisonnable, qu’elle était inconstitutionnelle au regard de l’art. 15 de la </w:t>
      </w:r>
      <w:r w:rsidRPr="00F60059">
        <w:rPr>
          <w:i/>
          <w:iCs/>
          <w:lang w:val="fr-CA"/>
        </w:rPr>
        <w:t>Charte canadienne des droits et libertés</w:t>
      </w:r>
      <w:r w:rsidRPr="00F60059">
        <w:rPr>
          <w:lang w:val="fr-CA"/>
        </w:rPr>
        <w:t xml:space="preserve"> et qu’elle constituait de la discrimination fondée sur la déficience au sens où il faut </w:t>
      </w:r>
      <w:r w:rsidRPr="00F60059">
        <w:rPr>
          <w:lang w:val="fr-CA"/>
        </w:rPr>
        <w:lastRenderedPageBreak/>
        <w:t xml:space="preserve">l’entendre pour l’application de l’art. 8 du </w:t>
      </w:r>
      <w:proofErr w:type="spellStart"/>
      <w:r w:rsidRPr="00F60059">
        <w:rPr>
          <w:i/>
          <w:iCs/>
          <w:lang w:val="fr-CA"/>
        </w:rPr>
        <w:t>Human</w:t>
      </w:r>
      <w:proofErr w:type="spellEnd"/>
      <w:r w:rsidRPr="00F60059">
        <w:rPr>
          <w:i/>
          <w:iCs/>
          <w:lang w:val="fr-CA"/>
        </w:rPr>
        <w:t xml:space="preserve"> </w:t>
      </w:r>
      <w:proofErr w:type="spellStart"/>
      <w:r w:rsidRPr="00F60059">
        <w:rPr>
          <w:i/>
          <w:iCs/>
          <w:lang w:val="fr-CA"/>
        </w:rPr>
        <w:t>Rights</w:t>
      </w:r>
      <w:proofErr w:type="spellEnd"/>
      <w:r w:rsidRPr="00F60059">
        <w:rPr>
          <w:i/>
          <w:iCs/>
          <w:lang w:val="fr-CA"/>
        </w:rPr>
        <w:t xml:space="preserve"> Code</w:t>
      </w:r>
      <w:r w:rsidR="001973F3" w:rsidRPr="00F60059">
        <w:rPr>
          <w:lang w:val="fr-CA"/>
        </w:rPr>
        <w:t>, R.S.B.C. 1996, ch. 210 (</w:t>
      </w:r>
      <w:r w:rsidRPr="00F60059">
        <w:rPr>
          <w:lang w:val="fr-CA"/>
        </w:rPr>
        <w:t>« </w:t>
      </w:r>
      <w:r w:rsidRPr="00F60059">
        <w:rPr>
          <w:i/>
          <w:lang w:val="fr-CA"/>
        </w:rPr>
        <w:t>Code</w:t>
      </w:r>
      <w:r w:rsidRPr="00F60059">
        <w:rPr>
          <w:lang w:val="fr-CA"/>
        </w:rPr>
        <w:t xml:space="preserve"> »). </w:t>
      </w:r>
    </w:p>
    <w:p w:rsidR="00E208A8" w:rsidRPr="00F60059" w:rsidRDefault="00E208A8" w:rsidP="00E208A8">
      <w:pPr>
        <w:pStyle w:val="ParaNoNdepar-AltN"/>
        <w:rPr>
          <w:lang w:val="fr-CA"/>
        </w:rPr>
      </w:pPr>
      <w:r w:rsidRPr="00F60059">
        <w:rPr>
          <w:lang w:val="fr-CA"/>
        </w:rPr>
        <w:t xml:space="preserve">L’agent de révision, Nick </w:t>
      </w:r>
      <w:proofErr w:type="spellStart"/>
      <w:r w:rsidRPr="00F60059">
        <w:rPr>
          <w:lang w:val="fr-CA"/>
        </w:rPr>
        <w:t>Attewell</w:t>
      </w:r>
      <w:proofErr w:type="spellEnd"/>
      <w:r w:rsidRPr="00F60059">
        <w:rPr>
          <w:lang w:val="fr-CA"/>
        </w:rPr>
        <w:t xml:space="preserve">, a conclu que la question de savoir si une politique de la Commission était manifestement déraisonnable relevait exclusivement du </w:t>
      </w:r>
      <w:proofErr w:type="spellStart"/>
      <w:r w:rsidRPr="00F60059">
        <w:rPr>
          <w:lang w:val="fr-CA"/>
        </w:rPr>
        <w:t>Workers</w:t>
      </w:r>
      <w:proofErr w:type="spellEnd"/>
      <w:r w:rsidRPr="00F60059">
        <w:rPr>
          <w:lang w:val="fr-CA"/>
        </w:rPr>
        <w:t>’ C</w:t>
      </w:r>
      <w:r w:rsidR="001973F3" w:rsidRPr="00F60059">
        <w:rPr>
          <w:lang w:val="fr-CA"/>
        </w:rPr>
        <w:t xml:space="preserve">ompensation </w:t>
      </w:r>
      <w:proofErr w:type="spellStart"/>
      <w:r w:rsidR="001973F3" w:rsidRPr="00F60059">
        <w:rPr>
          <w:lang w:val="fr-CA"/>
        </w:rPr>
        <w:t>Appeal</w:t>
      </w:r>
      <w:proofErr w:type="spellEnd"/>
      <w:r w:rsidR="001973F3" w:rsidRPr="00F60059">
        <w:rPr>
          <w:lang w:val="fr-CA"/>
        </w:rPr>
        <w:t xml:space="preserve"> Tribunal (</w:t>
      </w:r>
      <w:r w:rsidRPr="00F60059">
        <w:rPr>
          <w:lang w:val="fr-CA"/>
        </w:rPr>
        <w:t>« WCAT »).  Il a aussi conclu que le WCAT étant expressément privé de compétence en matière constitutionnelle par effet combiné de l’art. 44 de l’</w:t>
      </w:r>
      <w:r w:rsidRPr="00F60059">
        <w:rPr>
          <w:i/>
          <w:iCs/>
          <w:lang w:val="fr-CA"/>
        </w:rPr>
        <w:t xml:space="preserve">Administrative </w:t>
      </w:r>
      <w:proofErr w:type="spellStart"/>
      <w:r w:rsidRPr="00F60059">
        <w:rPr>
          <w:i/>
          <w:iCs/>
          <w:lang w:val="fr-CA"/>
        </w:rPr>
        <w:t>Tribunals</w:t>
      </w:r>
      <w:proofErr w:type="spellEnd"/>
      <w:r w:rsidRPr="00F60059">
        <w:rPr>
          <w:i/>
          <w:iCs/>
          <w:lang w:val="fr-CA"/>
        </w:rPr>
        <w:t xml:space="preserve"> </w:t>
      </w:r>
      <w:proofErr w:type="spellStart"/>
      <w:r w:rsidRPr="00F60059">
        <w:rPr>
          <w:i/>
          <w:iCs/>
          <w:lang w:val="fr-CA"/>
        </w:rPr>
        <w:t>Act</w:t>
      </w:r>
      <w:proofErr w:type="spellEnd"/>
      <w:r w:rsidRPr="00F60059">
        <w:rPr>
          <w:lang w:val="fr-CA"/>
        </w:rPr>
        <w:t xml:space="preserve">, </w:t>
      </w:r>
      <w:r w:rsidR="001973F3" w:rsidRPr="00F60059">
        <w:rPr>
          <w:lang w:val="fr-CA"/>
        </w:rPr>
        <w:t>S.B.C. 2004, ch. 45 (</w:t>
      </w:r>
      <w:r w:rsidRPr="00F60059">
        <w:rPr>
          <w:lang w:val="fr-CA"/>
        </w:rPr>
        <w:t>« </w:t>
      </w:r>
      <w:r w:rsidRPr="00F60059">
        <w:rPr>
          <w:i/>
          <w:lang w:val="fr-CA"/>
        </w:rPr>
        <w:t>ATA</w:t>
      </w:r>
      <w:r w:rsidRPr="00F60059">
        <w:rPr>
          <w:lang w:val="fr-CA"/>
        </w:rPr>
        <w:t> »)</w:t>
      </w:r>
      <w:r w:rsidR="001973F3" w:rsidRPr="00F60059">
        <w:rPr>
          <w:lang w:val="fr-CA"/>
        </w:rPr>
        <w:t>,</w:t>
      </w:r>
      <w:r w:rsidRPr="00F60059">
        <w:rPr>
          <w:lang w:val="fr-CA"/>
        </w:rPr>
        <w:t xml:space="preserve"> et de l’art. 245.1 de la </w:t>
      </w:r>
      <w:proofErr w:type="spellStart"/>
      <w:r w:rsidRPr="00F60059">
        <w:rPr>
          <w:i/>
          <w:iCs/>
          <w:lang w:val="fr-CA"/>
        </w:rPr>
        <w:t>Workers</w:t>
      </w:r>
      <w:proofErr w:type="spellEnd"/>
      <w:r w:rsidRPr="00F60059">
        <w:rPr>
          <w:i/>
          <w:iCs/>
          <w:lang w:val="fr-CA"/>
        </w:rPr>
        <w:t xml:space="preserve"> Compensation </w:t>
      </w:r>
      <w:proofErr w:type="spellStart"/>
      <w:r w:rsidRPr="00F60059">
        <w:rPr>
          <w:i/>
          <w:iCs/>
          <w:lang w:val="fr-CA"/>
        </w:rPr>
        <w:t>Act</w:t>
      </w:r>
      <w:proofErr w:type="spellEnd"/>
      <w:r w:rsidRPr="00F60059">
        <w:rPr>
          <w:lang w:val="fr-CA"/>
        </w:rPr>
        <w:t>, R.S.B.C. 1996, ch. 492, il en était lui aussi dépourvu.</w:t>
      </w:r>
    </w:p>
    <w:p w:rsidR="00E208A8" w:rsidRPr="00F60059" w:rsidRDefault="00E208A8" w:rsidP="00E208A8">
      <w:pPr>
        <w:pStyle w:val="ParaNoNdepar-AltN"/>
        <w:rPr>
          <w:b/>
          <w:bCs/>
          <w:lang w:val="fr-CA"/>
        </w:rPr>
      </w:pPr>
      <w:r w:rsidRPr="00F60059">
        <w:rPr>
          <w:lang w:val="fr-CA"/>
        </w:rPr>
        <w:t xml:space="preserve">L’agent de révision s’est toutefois estimé compétent pour entendre la plainte fondée sur le </w:t>
      </w:r>
      <w:r w:rsidRPr="00F60059">
        <w:rPr>
          <w:i/>
          <w:iCs/>
          <w:lang w:val="fr-CA"/>
        </w:rPr>
        <w:t>Code</w:t>
      </w:r>
      <w:r w:rsidRPr="00F60059">
        <w:rPr>
          <w:lang w:val="fr-CA"/>
        </w:rPr>
        <w:t xml:space="preserve"> en raison de l’arrêt </w:t>
      </w:r>
      <w:proofErr w:type="spellStart"/>
      <w:r w:rsidRPr="00F60059">
        <w:rPr>
          <w:i/>
          <w:iCs/>
          <w:lang w:val="fr-CA"/>
        </w:rPr>
        <w:t>Tranchemontagne</w:t>
      </w:r>
      <w:proofErr w:type="spellEnd"/>
      <w:r w:rsidRPr="00F60059">
        <w:rPr>
          <w:i/>
          <w:iCs/>
          <w:lang w:val="fr-CA"/>
        </w:rPr>
        <w:t xml:space="preserve"> c. Ontario (Directeur du Programme ontarien de soutien aux personnes handicapées)</w:t>
      </w:r>
      <w:r w:rsidRPr="00F60059">
        <w:rPr>
          <w:lang w:val="fr-CA"/>
        </w:rPr>
        <w:t>, 2006 CSC 14, [2006] 1 R.C.S. 513, dans lequel notre Cour a conclu, à la majorité, que les tribunaux des droits de la personne n’étaient pas investis d’une compétence exclusive et, que, à moins de dispositions législatives contraires, d’autres tribunaux administratifs pouvaient exercer une compétence concurrente en matière d’application des lois sur les droits de la personne.</w:t>
      </w:r>
    </w:p>
    <w:p w:rsidR="00E208A8" w:rsidRPr="00F60059" w:rsidRDefault="00E208A8" w:rsidP="00E208A8">
      <w:pPr>
        <w:pStyle w:val="ParaNoNdepar-AltN"/>
        <w:rPr>
          <w:lang w:val="fr-CA"/>
        </w:rPr>
      </w:pPr>
      <w:r w:rsidRPr="00F60059">
        <w:rPr>
          <w:lang w:val="fr-CA"/>
        </w:rPr>
        <w:t xml:space="preserve">Au terme de motifs minutieux et approfondis, l’agent de révision a conclu que la politique de la Commission relative à la douleur chronique n’enfreignait pas l’art. 8 du </w:t>
      </w:r>
      <w:r w:rsidRPr="00F60059">
        <w:rPr>
          <w:i/>
          <w:lang w:val="fr-CA"/>
        </w:rPr>
        <w:t>Code</w:t>
      </w:r>
      <w:r w:rsidRPr="00F60059">
        <w:rPr>
          <w:lang w:val="fr-CA"/>
        </w:rPr>
        <w:t xml:space="preserve"> et qu’elle n’était donc pas discriminatoire</w:t>
      </w:r>
      <w:r w:rsidRPr="00F60059">
        <w:rPr>
          <w:i/>
          <w:iCs/>
          <w:lang w:val="fr-CA"/>
        </w:rPr>
        <w:t xml:space="preserve">.  </w:t>
      </w:r>
    </w:p>
    <w:p w:rsidR="00E208A8" w:rsidRPr="00F60059" w:rsidRDefault="00E208A8" w:rsidP="00E208A8">
      <w:pPr>
        <w:pStyle w:val="ParaNoNdepar-AltN"/>
        <w:rPr>
          <w:lang w:val="fr-CA"/>
        </w:rPr>
      </w:pPr>
      <w:r w:rsidRPr="00F60059">
        <w:rPr>
          <w:lang w:val="fr-CA"/>
        </w:rPr>
        <w:lastRenderedPageBreak/>
        <w:t>Les plaignants ont porté la décision de M. </w:t>
      </w:r>
      <w:proofErr w:type="spellStart"/>
      <w:r w:rsidRPr="00F60059">
        <w:rPr>
          <w:lang w:val="fr-CA"/>
        </w:rPr>
        <w:t>Attewell</w:t>
      </w:r>
      <w:proofErr w:type="spellEnd"/>
      <w:r w:rsidRPr="00F60059">
        <w:rPr>
          <w:lang w:val="fr-CA"/>
        </w:rPr>
        <w:t xml:space="preserve"> en appel devant le WCAT.  Avant l’instruction de l’appel, la législature de la </w:t>
      </w:r>
      <w:proofErr w:type="spellStart"/>
      <w:r w:rsidRPr="00F60059">
        <w:rPr>
          <w:lang w:val="fr-CA"/>
        </w:rPr>
        <w:t>Colombie</w:t>
      </w:r>
      <w:r w:rsidRPr="00F60059">
        <w:rPr>
          <w:lang w:val="fr-CA"/>
        </w:rPr>
        <w:noBreakHyphen/>
        <w:t>Britannique</w:t>
      </w:r>
      <w:proofErr w:type="spellEnd"/>
      <w:r w:rsidRPr="00F60059">
        <w:rPr>
          <w:lang w:val="fr-CA"/>
        </w:rPr>
        <w:t xml:space="preserve"> a modifié l’</w:t>
      </w:r>
      <w:r w:rsidRPr="00F60059">
        <w:rPr>
          <w:i/>
          <w:iCs/>
          <w:lang w:val="fr-CA"/>
        </w:rPr>
        <w:t xml:space="preserve">Administrative </w:t>
      </w:r>
      <w:proofErr w:type="spellStart"/>
      <w:r w:rsidRPr="00F60059">
        <w:rPr>
          <w:i/>
          <w:iCs/>
          <w:lang w:val="fr-CA"/>
        </w:rPr>
        <w:t>Tribunals</w:t>
      </w:r>
      <w:proofErr w:type="spellEnd"/>
      <w:r w:rsidRPr="00F60059">
        <w:rPr>
          <w:i/>
          <w:iCs/>
          <w:lang w:val="fr-CA"/>
        </w:rPr>
        <w:t xml:space="preserve"> </w:t>
      </w:r>
      <w:proofErr w:type="spellStart"/>
      <w:r w:rsidRPr="00F60059">
        <w:rPr>
          <w:i/>
          <w:iCs/>
          <w:lang w:val="fr-CA"/>
        </w:rPr>
        <w:t>Act</w:t>
      </w:r>
      <w:proofErr w:type="spellEnd"/>
      <w:r w:rsidRPr="00F60059">
        <w:rPr>
          <w:i/>
          <w:iCs/>
          <w:lang w:val="fr-CA"/>
        </w:rPr>
        <w:t xml:space="preserve"> </w:t>
      </w:r>
      <w:r w:rsidRPr="00F60059">
        <w:rPr>
          <w:lang w:val="fr-CA"/>
        </w:rPr>
        <w:t xml:space="preserve">et la </w:t>
      </w:r>
      <w:proofErr w:type="spellStart"/>
      <w:r w:rsidRPr="00F60059">
        <w:rPr>
          <w:i/>
          <w:iCs/>
          <w:lang w:val="fr-CA"/>
        </w:rPr>
        <w:t>Workers</w:t>
      </w:r>
      <w:proofErr w:type="spellEnd"/>
      <w:r w:rsidRPr="00F60059">
        <w:rPr>
          <w:i/>
          <w:iCs/>
          <w:lang w:val="fr-CA"/>
        </w:rPr>
        <w:t xml:space="preserve"> Compensation </w:t>
      </w:r>
      <w:proofErr w:type="spellStart"/>
      <w:r w:rsidRPr="00F60059">
        <w:rPr>
          <w:i/>
          <w:iCs/>
          <w:lang w:val="fr-CA"/>
        </w:rPr>
        <w:t>Act</w:t>
      </w:r>
      <w:proofErr w:type="spellEnd"/>
      <w:r w:rsidRPr="00F60059">
        <w:rPr>
          <w:lang w:val="fr-CA"/>
        </w:rPr>
        <w:t xml:space="preserve">, et supprimé la compétence du WCAT en matière d’application du </w:t>
      </w:r>
      <w:r w:rsidRPr="00F60059">
        <w:rPr>
          <w:i/>
          <w:lang w:val="fr-CA"/>
        </w:rPr>
        <w:t>Code</w:t>
      </w:r>
      <w:r w:rsidRPr="00F60059">
        <w:rPr>
          <w:i/>
          <w:iCs/>
          <w:lang w:val="fr-CA"/>
        </w:rPr>
        <w:t xml:space="preserve"> </w:t>
      </w:r>
      <w:r w:rsidRPr="00F60059">
        <w:rPr>
          <w:lang w:val="fr-CA"/>
        </w:rPr>
        <w:t>(</w:t>
      </w:r>
      <w:r w:rsidRPr="00F60059">
        <w:rPr>
          <w:i/>
          <w:iCs/>
          <w:lang w:val="fr-CA"/>
        </w:rPr>
        <w:t xml:space="preserve">Attorney General </w:t>
      </w:r>
      <w:proofErr w:type="spellStart"/>
      <w:r w:rsidRPr="00F60059">
        <w:rPr>
          <w:i/>
          <w:iCs/>
          <w:lang w:val="fr-CA"/>
        </w:rPr>
        <w:t>Statutes</w:t>
      </w:r>
      <w:proofErr w:type="spellEnd"/>
      <w:r w:rsidRPr="00F60059">
        <w:rPr>
          <w:i/>
          <w:iCs/>
          <w:lang w:val="fr-CA"/>
        </w:rPr>
        <w:t xml:space="preserve"> </w:t>
      </w:r>
      <w:proofErr w:type="spellStart"/>
      <w:r w:rsidRPr="00F60059">
        <w:rPr>
          <w:i/>
          <w:iCs/>
          <w:lang w:val="fr-CA"/>
        </w:rPr>
        <w:t>Amendment</w:t>
      </w:r>
      <w:proofErr w:type="spellEnd"/>
      <w:r w:rsidRPr="00F60059">
        <w:rPr>
          <w:i/>
          <w:iCs/>
          <w:lang w:val="fr-CA"/>
        </w:rPr>
        <w:t xml:space="preserve"> </w:t>
      </w:r>
      <w:proofErr w:type="spellStart"/>
      <w:r w:rsidRPr="00F60059">
        <w:rPr>
          <w:i/>
          <w:iCs/>
          <w:lang w:val="fr-CA"/>
        </w:rPr>
        <w:t>Act</w:t>
      </w:r>
      <w:proofErr w:type="spellEnd"/>
      <w:r w:rsidRPr="00F60059">
        <w:rPr>
          <w:i/>
          <w:lang w:val="fr-CA"/>
        </w:rPr>
        <w:t>, 2007</w:t>
      </w:r>
      <w:r w:rsidRPr="00F60059">
        <w:rPr>
          <w:lang w:val="fr-CA"/>
        </w:rPr>
        <w:t>, S.B.C. 2007, ch. 14)</w:t>
      </w:r>
      <w:r w:rsidRPr="00F60059">
        <w:rPr>
          <w:i/>
          <w:iCs/>
          <w:lang w:val="fr-CA"/>
        </w:rPr>
        <w:t xml:space="preserve">. </w:t>
      </w:r>
      <w:r w:rsidRPr="00F60059">
        <w:rPr>
          <w:iCs/>
          <w:lang w:val="fr-CA"/>
        </w:rPr>
        <w:t xml:space="preserve">Aucune des parties n’a soulevé la question de l’effet de cette modification sur le pouvoir de l’agent de révision de se prononcer sur une question relevant du </w:t>
      </w:r>
      <w:r w:rsidRPr="00F60059">
        <w:rPr>
          <w:i/>
          <w:iCs/>
          <w:lang w:val="fr-CA"/>
        </w:rPr>
        <w:t>Code</w:t>
      </w:r>
      <w:r w:rsidRPr="00F60059">
        <w:rPr>
          <w:iCs/>
          <w:lang w:val="fr-CA"/>
        </w:rPr>
        <w:t xml:space="preserve"> et nous n’en sommes pas saisis. </w:t>
      </w:r>
      <w:r w:rsidRPr="00F60059">
        <w:rPr>
          <w:lang w:val="fr-CA"/>
        </w:rPr>
        <w:t xml:space="preserve"> </w:t>
      </w:r>
    </w:p>
    <w:p w:rsidR="00E208A8" w:rsidRPr="00F60059" w:rsidRDefault="00E208A8" w:rsidP="00E208A8">
      <w:pPr>
        <w:pStyle w:val="ParaNoNdepar-AltN"/>
        <w:rPr>
          <w:lang w:val="fr-CA"/>
        </w:rPr>
      </w:pPr>
      <w:r w:rsidRPr="00F60059">
        <w:rPr>
          <w:lang w:val="fr-CA"/>
        </w:rPr>
        <w:t>Compte tenu des modifications, l’appel interjeté par les plaignants des conclusions de l’agent de révision relatives aux droits de la personne ne pouvait pas être entendu par le WCAT, mais il leur était toujours loisible de demander un contrôle judiciaire. Or, plutôt que de procéder ainsi, les plaignants ont déposé devant le tribuna</w:t>
      </w:r>
      <w:r w:rsidR="001973F3" w:rsidRPr="00F60059">
        <w:rPr>
          <w:lang w:val="fr-CA"/>
        </w:rPr>
        <w:t>l des droits de la personne (</w:t>
      </w:r>
      <w:r w:rsidRPr="00F60059">
        <w:rPr>
          <w:lang w:val="fr-CA"/>
        </w:rPr>
        <w:t xml:space="preserve">« Tribunal ») de nouvelles plaintes dans lesquelles ils reprenaient l’argument qu’ils avaient soumis à la Section de révision, selon lequel la politique de la Commission en matière de douleur chronique était contraire à l’art. 8 du </w:t>
      </w:r>
      <w:r w:rsidRPr="00F60059">
        <w:rPr>
          <w:i/>
          <w:lang w:val="fr-CA"/>
        </w:rPr>
        <w:t>Code</w:t>
      </w:r>
      <w:r w:rsidRPr="00F60059">
        <w:rPr>
          <w:lang w:val="fr-CA"/>
        </w:rPr>
        <w:t xml:space="preserve">.  Ils n’ont pas poursuivi l’appel interjeté devant le WCAT à l’encontre de la conclusion de l’agent de révision relative à sa compétence pour décider si cette politique est manifestement déraisonnable. </w:t>
      </w:r>
    </w:p>
    <w:p w:rsidR="00E208A8" w:rsidRPr="00F60059" w:rsidRDefault="00E208A8" w:rsidP="00E208A8">
      <w:pPr>
        <w:pStyle w:val="ParaNoNdepar-AltN"/>
        <w:tabs>
          <w:tab w:val="clear" w:pos="1166"/>
          <w:tab w:val="num" w:pos="1152"/>
        </w:tabs>
        <w:rPr>
          <w:lang w:val="fr-CA"/>
        </w:rPr>
      </w:pPr>
      <w:r w:rsidRPr="00F60059">
        <w:rPr>
          <w:lang w:val="fr-CA"/>
        </w:rPr>
        <w:t>La Commission a présenté au Tribunal une requête pour rejet des nouvelles plaintes, dans laquelle elle soutenait, d’une part, que le Tribunal n’avait pas compétence pour les entendre (27(1</w:t>
      </w:r>
      <w:proofErr w:type="gramStart"/>
      <w:r w:rsidRPr="00F60059">
        <w:rPr>
          <w:lang w:val="fr-CA"/>
        </w:rPr>
        <w:t>)a</w:t>
      </w:r>
      <w:proofErr w:type="gramEnd"/>
      <w:r w:rsidRPr="00F60059">
        <w:rPr>
          <w:lang w:val="fr-CA"/>
        </w:rPr>
        <w:t xml:space="preserve">) du </w:t>
      </w:r>
      <w:r w:rsidRPr="00F60059">
        <w:rPr>
          <w:i/>
          <w:lang w:val="fr-CA"/>
        </w:rPr>
        <w:t>Code</w:t>
      </w:r>
      <w:r w:rsidRPr="00F60059">
        <w:rPr>
          <w:lang w:val="fr-CA"/>
        </w:rPr>
        <w:t xml:space="preserve">) et, d’autre part, que la Section de </w:t>
      </w:r>
      <w:r w:rsidRPr="00F60059">
        <w:rPr>
          <w:lang w:val="fr-CA"/>
        </w:rPr>
        <w:lastRenderedPageBreak/>
        <w:t>révision avait déjà statué de façon appropriée sur le fond de la plain</w:t>
      </w:r>
      <w:r w:rsidR="00B65D54">
        <w:rPr>
          <w:lang w:val="fr-CA"/>
        </w:rPr>
        <w:t>te (27(1)</w:t>
      </w:r>
      <w:r w:rsidRPr="00F60059">
        <w:rPr>
          <w:lang w:val="fr-CA"/>
        </w:rPr>
        <w:t xml:space="preserve">f) du </w:t>
      </w:r>
      <w:r w:rsidRPr="00F60059">
        <w:rPr>
          <w:i/>
          <w:lang w:val="fr-CA"/>
        </w:rPr>
        <w:t>Code</w:t>
      </w:r>
      <w:r w:rsidRPr="00F60059">
        <w:rPr>
          <w:lang w:val="fr-CA"/>
        </w:rPr>
        <w:t>).  Voici le texte de ces dispositions :</w:t>
      </w:r>
    </w:p>
    <w:p w:rsidR="00E208A8" w:rsidRPr="00F60059" w:rsidRDefault="00E208A8" w:rsidP="00610357">
      <w:pPr>
        <w:pStyle w:val="Citation-AltC"/>
        <w:keepNext/>
        <w:spacing w:after="240"/>
        <w:ind w:left="1170" w:hanging="1170"/>
        <w:rPr>
          <w:lang w:val="fr-CA"/>
        </w:rPr>
      </w:pPr>
      <w:r w:rsidRPr="00F60059">
        <w:rPr>
          <w:lang w:val="fr-CA"/>
        </w:rPr>
        <w:tab/>
        <w:t>[</w:t>
      </w:r>
      <w:r w:rsidRPr="00F60059">
        <w:rPr>
          <w:smallCaps/>
          <w:lang w:val="fr-CA"/>
        </w:rPr>
        <w:t>traduction</w:t>
      </w:r>
      <w:r w:rsidRPr="00F60059">
        <w:rPr>
          <w:lang w:val="fr-CA"/>
        </w:rPr>
        <w:t>]</w:t>
      </w:r>
    </w:p>
    <w:p w:rsidR="00E208A8" w:rsidRPr="00F60059" w:rsidRDefault="00610357" w:rsidP="00610357">
      <w:pPr>
        <w:pStyle w:val="Citation-AltC"/>
        <w:tabs>
          <w:tab w:val="left" w:pos="1170"/>
          <w:tab w:val="left" w:pos="1980"/>
        </w:tabs>
        <w:spacing w:after="240"/>
        <w:ind w:left="1980" w:hanging="1980"/>
        <w:rPr>
          <w:lang w:val="fr-CA"/>
        </w:rPr>
      </w:pPr>
      <w:r w:rsidRPr="00F60059">
        <w:rPr>
          <w:b/>
          <w:lang w:val="fr-CA"/>
        </w:rPr>
        <w:tab/>
      </w:r>
      <w:r w:rsidR="00E208A8" w:rsidRPr="00F60059">
        <w:rPr>
          <w:b/>
          <w:lang w:val="fr-CA"/>
        </w:rPr>
        <w:t>27</w:t>
      </w:r>
      <w:r w:rsidR="00E208A8" w:rsidRPr="00F60059">
        <w:rPr>
          <w:lang w:val="fr-CA"/>
        </w:rPr>
        <w:t> (1)</w:t>
      </w:r>
      <w:r w:rsidR="00E208A8" w:rsidRPr="00F60059">
        <w:rPr>
          <w:lang w:val="fr-CA"/>
        </w:rPr>
        <w:tab/>
        <w:t>Un membre ou une formation peut, à tout moment après le dépôt d’une plainte, la rejeter en totalité ou en partie, avec ou sans audience si, à son avis, l’une ou l’autre des circonstances suivantes est applicable :</w:t>
      </w:r>
    </w:p>
    <w:p w:rsidR="00E208A8" w:rsidRPr="00F60059" w:rsidRDefault="00610357" w:rsidP="00610357">
      <w:pPr>
        <w:pStyle w:val="Citation-AltC"/>
        <w:tabs>
          <w:tab w:val="left" w:pos="1980"/>
          <w:tab w:val="left" w:pos="2520"/>
        </w:tabs>
        <w:spacing w:after="240"/>
        <w:ind w:left="2520" w:hanging="2520"/>
        <w:rPr>
          <w:lang w:val="fr-CA"/>
        </w:rPr>
      </w:pPr>
      <w:r w:rsidRPr="00F60059">
        <w:rPr>
          <w:iCs/>
          <w:lang w:val="fr-CA"/>
        </w:rPr>
        <w:tab/>
      </w:r>
      <w:r w:rsidR="00E208A8" w:rsidRPr="00F60059">
        <w:rPr>
          <w:iCs/>
          <w:lang w:val="fr-CA"/>
        </w:rPr>
        <w:t>a</w:t>
      </w:r>
      <w:r w:rsidR="00E208A8" w:rsidRPr="00F60059">
        <w:rPr>
          <w:lang w:val="fr-CA"/>
        </w:rPr>
        <w:t>)</w:t>
      </w:r>
      <w:r w:rsidR="00E208A8" w:rsidRPr="00F60059">
        <w:rPr>
          <w:lang w:val="fr-CA"/>
        </w:rPr>
        <w:tab/>
        <w:t xml:space="preserve">la plainte ou une partie de la plainte ne relève pas de la compétence du tribunal; </w:t>
      </w:r>
    </w:p>
    <w:p w:rsidR="00E208A8" w:rsidRPr="00F60059" w:rsidRDefault="00E208A8" w:rsidP="00E208A8">
      <w:pPr>
        <w:pStyle w:val="Citation-AltC"/>
        <w:spacing w:after="240"/>
        <w:ind w:left="1530" w:hanging="1530"/>
        <w:jc w:val="center"/>
        <w:rPr>
          <w:lang w:val="fr-CA"/>
        </w:rPr>
      </w:pPr>
      <w:r w:rsidRPr="00F60059">
        <w:rPr>
          <w:lang w:val="fr-CA"/>
        </w:rPr>
        <w:t>. . .</w:t>
      </w:r>
    </w:p>
    <w:p w:rsidR="00E208A8" w:rsidRPr="00F60059" w:rsidRDefault="00610357" w:rsidP="00610357">
      <w:pPr>
        <w:pStyle w:val="Citation-AltC"/>
        <w:tabs>
          <w:tab w:val="left" w:pos="1980"/>
          <w:tab w:val="left" w:pos="2520"/>
        </w:tabs>
        <w:ind w:left="2520" w:hanging="2520"/>
        <w:rPr>
          <w:lang w:val="fr-CA"/>
        </w:rPr>
      </w:pPr>
      <w:r w:rsidRPr="00F60059">
        <w:rPr>
          <w:iCs/>
          <w:lang w:val="fr-CA"/>
        </w:rPr>
        <w:tab/>
      </w:r>
      <w:r w:rsidR="00E208A8" w:rsidRPr="00F60059">
        <w:rPr>
          <w:iCs/>
          <w:lang w:val="fr-CA"/>
        </w:rPr>
        <w:t>f</w:t>
      </w:r>
      <w:r w:rsidR="00E208A8" w:rsidRPr="00F60059">
        <w:rPr>
          <w:lang w:val="fr-CA"/>
        </w:rPr>
        <w:t>)</w:t>
      </w:r>
      <w:r w:rsidR="00E208A8" w:rsidRPr="00F60059">
        <w:rPr>
          <w:lang w:val="fr-CA"/>
        </w:rPr>
        <w:tab/>
        <w:t xml:space="preserve">il a été statué de façon appropriée sur le fond de la plainte dans une autre instance; </w:t>
      </w:r>
    </w:p>
    <w:p w:rsidR="00E208A8" w:rsidRPr="00F60059" w:rsidRDefault="00E208A8" w:rsidP="00E208A8">
      <w:pPr>
        <w:pStyle w:val="ParaNoNdepar-AltN"/>
        <w:rPr>
          <w:lang w:val="fr-CA"/>
        </w:rPr>
      </w:pPr>
      <w:r w:rsidRPr="00F60059">
        <w:rPr>
          <w:lang w:val="fr-CA"/>
        </w:rPr>
        <w:t>Le Tribunal a rejeté les deux arguments (2008 BCHRT 374 (</w:t>
      </w:r>
      <w:proofErr w:type="spellStart"/>
      <w:r w:rsidRPr="00F60059">
        <w:rPr>
          <w:lang w:val="fr-CA"/>
        </w:rPr>
        <w:t>CanLII</w:t>
      </w:r>
      <w:proofErr w:type="spellEnd"/>
      <w:r w:rsidRPr="00F60059">
        <w:rPr>
          <w:lang w:val="fr-CA"/>
        </w:rPr>
        <w:t xml:space="preserve">)).  Il a notamment conclu qu’il n’y avait pas lieu de rejeter les plaintes en vertu de l’al. 27(1)f), conclusion qui intéresse particulièrement la présente espèce.  </w:t>
      </w:r>
      <w:proofErr w:type="spellStart"/>
      <w:r w:rsidRPr="00F60059">
        <w:rPr>
          <w:lang w:val="en-US"/>
        </w:rPr>
        <w:t>Citant</w:t>
      </w:r>
      <w:proofErr w:type="spellEnd"/>
      <w:r w:rsidRPr="00F60059">
        <w:rPr>
          <w:lang w:val="en-US"/>
        </w:rPr>
        <w:t xml:space="preserve"> </w:t>
      </w:r>
      <w:r w:rsidRPr="00F60059">
        <w:rPr>
          <w:i/>
          <w:iCs/>
          <w:lang w:val="en-US"/>
        </w:rPr>
        <w:t xml:space="preserve">British Columbia (Ministry of Competition, Science &amp; Enterprise) c. </w:t>
      </w:r>
      <w:proofErr w:type="spellStart"/>
      <w:r w:rsidRPr="00F60059">
        <w:rPr>
          <w:i/>
          <w:iCs/>
          <w:lang w:val="en-US"/>
        </w:rPr>
        <w:t>Matuszewski</w:t>
      </w:r>
      <w:proofErr w:type="spellEnd"/>
      <w:r w:rsidRPr="00F60059">
        <w:rPr>
          <w:lang w:val="en-US"/>
        </w:rPr>
        <w:t xml:space="preserve">, 2008 BCSC 915, 82 Admin. </w:t>
      </w:r>
      <w:r w:rsidRPr="00F60059">
        <w:rPr>
          <w:lang w:val="fr-CA"/>
        </w:rPr>
        <w:t xml:space="preserve">L.R. (4th) 308, et s’appuyant sur l’arrêt </w:t>
      </w:r>
      <w:proofErr w:type="spellStart"/>
      <w:r w:rsidRPr="00F60059">
        <w:rPr>
          <w:i/>
          <w:iCs/>
          <w:lang w:val="fr-CA"/>
        </w:rPr>
        <w:t>Danyluk</w:t>
      </w:r>
      <w:proofErr w:type="spellEnd"/>
      <w:r w:rsidRPr="00F60059">
        <w:rPr>
          <w:i/>
          <w:iCs/>
          <w:lang w:val="fr-CA"/>
        </w:rPr>
        <w:t xml:space="preserve"> c. Ainsworth Technologies Inc.</w:t>
      </w:r>
      <w:r w:rsidRPr="00F60059">
        <w:rPr>
          <w:lang w:val="fr-CA"/>
        </w:rPr>
        <w:t>, 2001 CSC 44, [2001] 2 R.C.S. 460, de notre Cour, le Tribunal a jugé qu’il [</w:t>
      </w:r>
      <w:r w:rsidRPr="00F60059">
        <w:rPr>
          <w:smallCaps/>
          <w:lang w:val="fr-CA"/>
        </w:rPr>
        <w:t>traduction</w:t>
      </w:r>
      <w:r w:rsidRPr="00F60059">
        <w:rPr>
          <w:lang w:val="fr-CA"/>
        </w:rPr>
        <w:t>] « n’a pas été statué de façon appropriée sur le fond de la plainte dans le cadre du processus de révision</w:t>
      </w:r>
      <w:r w:rsidR="001973F3" w:rsidRPr="00F60059">
        <w:rPr>
          <w:lang w:val="fr-CA"/>
        </w:rPr>
        <w:t>.</w:t>
      </w:r>
      <w:r w:rsidRPr="00F60059">
        <w:rPr>
          <w:lang w:val="fr-CA"/>
        </w:rPr>
        <w:t xml:space="preserve"> [. . .] [L]a question soulevée est une question que le Tribunal peut à bon droit considérer et il convient que les parties puissent bénéficier d’une audience en bonne et due forme par le tribunal » (par. 50).  </w:t>
      </w:r>
    </w:p>
    <w:p w:rsidR="00E208A8" w:rsidRPr="00F60059" w:rsidRDefault="00E208A8" w:rsidP="00E208A8">
      <w:pPr>
        <w:pStyle w:val="ParaNoNdepar-AltN"/>
        <w:rPr>
          <w:lang w:val="fr-CA"/>
        </w:rPr>
      </w:pPr>
      <w:r w:rsidRPr="00F60059">
        <w:rPr>
          <w:lang w:val="fr-CA"/>
        </w:rPr>
        <w:lastRenderedPageBreak/>
        <w:t xml:space="preserve">À l’issue d’un contrôle judiciaire, la juge </w:t>
      </w:r>
      <w:proofErr w:type="spellStart"/>
      <w:r w:rsidRPr="00F60059">
        <w:rPr>
          <w:lang w:val="fr-CA"/>
        </w:rPr>
        <w:t>Stromberg</w:t>
      </w:r>
      <w:r w:rsidRPr="00F60059">
        <w:rPr>
          <w:lang w:val="fr-CA"/>
        </w:rPr>
        <w:noBreakHyphen/>
        <w:t>Stein</w:t>
      </w:r>
      <w:proofErr w:type="spellEnd"/>
      <w:r w:rsidRPr="00F60059">
        <w:rPr>
          <w:lang w:val="fr-CA"/>
        </w:rPr>
        <w:t xml:space="preserve"> a annulé cette décision (2009 BCSC 377, 93 B.C.L.R. (4th) 384), estimant que l’agent de révision avait déjà [</w:t>
      </w:r>
      <w:r w:rsidRPr="00F60059">
        <w:rPr>
          <w:smallCaps/>
          <w:lang w:val="fr-CA"/>
        </w:rPr>
        <w:t>traduction</w:t>
      </w:r>
      <w:r w:rsidRPr="00F60059">
        <w:rPr>
          <w:lang w:val="fr-CA"/>
        </w:rPr>
        <w:t>] « statué de façon définitive » sur les mêmes questions et que le Tribunal n’avait pas dûment tenu compte des principes applicables en matière d’autorité de la chose jugée, de contestation indirecte et d’abus de procédure (par. 40 et 54).  Elle a conclu que, si le Tribunal entendait les plaintes, cela violerait les principes de cohérence, de caractère définitif des instances et d’intégrité de l’administration de la justice.  Selon elle, les plaintes déposées devant le Tribunal relevaient d’une tentative déguisée d’éluder le contrôle judiciaire :</w:t>
      </w:r>
    </w:p>
    <w:p w:rsidR="00E208A8" w:rsidRPr="00F60059" w:rsidRDefault="00E208A8" w:rsidP="00610357">
      <w:pPr>
        <w:pStyle w:val="Citation-AltC"/>
        <w:keepNext/>
        <w:ind w:hanging="1166"/>
        <w:rPr>
          <w:lang w:val="fr-CA"/>
        </w:rPr>
      </w:pPr>
      <w:r w:rsidRPr="00F60059">
        <w:rPr>
          <w:lang w:val="fr-CA"/>
        </w:rPr>
        <w:tab/>
      </w:r>
      <w:r w:rsidR="001973F3" w:rsidRPr="00F60059">
        <w:rPr>
          <w:lang w:val="fr-CA"/>
        </w:rPr>
        <w:t>[</w:t>
      </w:r>
      <w:r w:rsidR="001973F3" w:rsidRPr="00F60059">
        <w:rPr>
          <w:smallCaps/>
          <w:lang w:val="fr-CA"/>
        </w:rPr>
        <w:t>traduction</w:t>
      </w:r>
      <w:r w:rsidR="001973F3" w:rsidRPr="00F60059">
        <w:rPr>
          <w:lang w:val="fr-CA"/>
        </w:rPr>
        <w:t xml:space="preserve">]  </w:t>
      </w:r>
      <w:r w:rsidRPr="00F60059">
        <w:rPr>
          <w:lang w:val="fr-CA"/>
        </w:rPr>
        <w:t xml:space="preserve">Le Tribunal se trouverait à se prononcer sur le </w:t>
      </w:r>
      <w:proofErr w:type="spellStart"/>
      <w:r w:rsidRPr="00F60059">
        <w:rPr>
          <w:lang w:val="fr-CA"/>
        </w:rPr>
        <w:t>bien</w:t>
      </w:r>
      <w:r w:rsidRPr="00F60059">
        <w:rPr>
          <w:lang w:val="fr-CA"/>
        </w:rPr>
        <w:noBreakHyphen/>
        <w:t>fondé</w:t>
      </w:r>
      <w:proofErr w:type="spellEnd"/>
      <w:r w:rsidRPr="00F60059">
        <w:rPr>
          <w:lang w:val="fr-CA"/>
        </w:rPr>
        <w:t xml:space="preserve"> de la décision de la Section de révision.  Ce n’est pas son rôle, et il y aurait abus de procédure s’il le faisait.  [</w:t>
      </w:r>
      <w:proofErr w:type="gramStart"/>
      <w:r w:rsidRPr="00F60059">
        <w:rPr>
          <w:lang w:val="fr-CA"/>
        </w:rPr>
        <w:t>par</w:t>
      </w:r>
      <w:proofErr w:type="gramEnd"/>
      <w:r w:rsidRPr="00F60059">
        <w:rPr>
          <w:lang w:val="fr-CA"/>
        </w:rPr>
        <w:t>. 56]</w:t>
      </w:r>
    </w:p>
    <w:p w:rsidR="00E208A8" w:rsidRPr="00F60059" w:rsidRDefault="00E208A8" w:rsidP="00E208A8">
      <w:pPr>
        <w:pStyle w:val="ParaNoNdepar-AltN"/>
        <w:rPr>
          <w:lang w:val="fr-CA"/>
        </w:rPr>
      </w:pPr>
      <w:r w:rsidRPr="00F60059">
        <w:rPr>
          <w:lang w:val="fr-CA"/>
        </w:rPr>
        <w:t>S’agissant de la norme de contrôle applicable, la juge a exprimé l’avis que la décision du Tribunal devait être annulée que l’on applique la norme de la décision correcte ou celle de la décision manifestement déraisonnable.</w:t>
      </w:r>
    </w:p>
    <w:p w:rsidR="00E208A8" w:rsidRPr="00F60059" w:rsidRDefault="00E208A8" w:rsidP="00E208A8">
      <w:pPr>
        <w:pStyle w:val="ParaNoNdepar-AltN"/>
        <w:rPr>
          <w:lang w:val="fr-CA"/>
        </w:rPr>
      </w:pPr>
      <w:r w:rsidRPr="00F60059">
        <w:rPr>
          <w:lang w:val="fr-CA"/>
        </w:rPr>
        <w:t>La Cour d’appel a rétabli la décision du Tribunal (2010 BCCA 77, 2 B.C.L.R. (5th) 274).  Suivant so</w:t>
      </w:r>
      <w:r w:rsidR="00125845">
        <w:rPr>
          <w:lang w:val="fr-CA"/>
        </w:rPr>
        <w:t>n interprétation de l’al. 27(1)</w:t>
      </w:r>
      <w:r w:rsidRPr="00F60059">
        <w:rPr>
          <w:lang w:val="fr-CA"/>
        </w:rPr>
        <w:t xml:space="preserve">f), cette disposition reflète l’intention du législateur de conférer au Tribunal la compétence de statuer sur les plaintes relevant des droits de la personne, même lorsqu’un autre tribunal s’est déjà prononcé sur les mêmes questions.  Cet examen par le Tribunal ne constituait pas l’exercice d’une compétence d’appel, mais découlait de son rôle consistant à </w:t>
      </w:r>
      <w:r w:rsidRPr="00F60059">
        <w:rPr>
          <w:lang w:val="fr-CA"/>
        </w:rPr>
        <w:lastRenderedPageBreak/>
        <w:t>déterminer si l’instance antérieure avait permis de statuer de façon appropriée sur le fond des questions relatives aux droits de la personne.</w:t>
      </w:r>
    </w:p>
    <w:p w:rsidR="00E208A8" w:rsidRPr="00F60059" w:rsidRDefault="00E208A8" w:rsidP="00E208A8">
      <w:pPr>
        <w:pStyle w:val="ParaNoNdepar-AltN"/>
        <w:rPr>
          <w:lang w:val="fr-CA"/>
        </w:rPr>
      </w:pPr>
      <w:r w:rsidRPr="00F60059">
        <w:rPr>
          <w:lang w:val="fr-CA"/>
        </w:rPr>
        <w:t>Au sujet de la norme de contrôle, la Cour d’appel a conclu que la question mettait en cause l’al. 27(1)f) et que</w:t>
      </w:r>
      <w:r w:rsidR="001973F3" w:rsidRPr="00F60059">
        <w:rPr>
          <w:lang w:val="fr-CA"/>
        </w:rPr>
        <w:t>,</w:t>
      </w:r>
      <w:r w:rsidRPr="00F60059">
        <w:rPr>
          <w:lang w:val="fr-CA"/>
        </w:rPr>
        <w:t xml:space="preserve"> compte tenu de la nature discrétionnaire des décisions fondées sur cette disposition, la norme applicable, suivant la jurisprudence, est celle de la décision manifestement déraisonnable : voir </w:t>
      </w:r>
      <w:proofErr w:type="spellStart"/>
      <w:r w:rsidRPr="00F60059">
        <w:rPr>
          <w:i/>
          <w:iCs/>
          <w:lang w:val="fr-CA"/>
        </w:rPr>
        <w:t>Workers</w:t>
      </w:r>
      <w:proofErr w:type="spellEnd"/>
      <w:r w:rsidRPr="00F60059">
        <w:rPr>
          <w:i/>
          <w:iCs/>
          <w:lang w:val="fr-CA"/>
        </w:rPr>
        <w:t xml:space="preserve">’ Compensation </w:t>
      </w:r>
      <w:proofErr w:type="spellStart"/>
      <w:r w:rsidRPr="00F60059">
        <w:rPr>
          <w:i/>
          <w:iCs/>
          <w:lang w:val="fr-CA"/>
        </w:rPr>
        <w:t>Appeal</w:t>
      </w:r>
      <w:proofErr w:type="spellEnd"/>
      <w:r w:rsidRPr="00F60059">
        <w:rPr>
          <w:i/>
          <w:iCs/>
          <w:lang w:val="fr-CA"/>
        </w:rPr>
        <w:t xml:space="preserve"> Tribunal</w:t>
      </w:r>
      <w:r w:rsidR="001973F3" w:rsidRPr="00F60059">
        <w:rPr>
          <w:i/>
          <w:iCs/>
          <w:lang w:val="fr-CA"/>
        </w:rPr>
        <w:t xml:space="preserve"> (B.C.</w:t>
      </w:r>
      <w:r w:rsidRPr="00F60059">
        <w:rPr>
          <w:i/>
          <w:iCs/>
          <w:lang w:val="fr-CA"/>
        </w:rPr>
        <w:t>) c. Hill</w:t>
      </w:r>
      <w:r w:rsidRPr="00F60059">
        <w:rPr>
          <w:lang w:val="fr-CA"/>
        </w:rPr>
        <w:t xml:space="preserve">, 2011 BCCA 49, 299 B.C.A.C. 129; </w:t>
      </w:r>
      <w:proofErr w:type="spellStart"/>
      <w:r w:rsidRPr="00F60059">
        <w:rPr>
          <w:i/>
          <w:iCs/>
          <w:lang w:val="fr-CA"/>
        </w:rPr>
        <w:t>Berezoutskaia</w:t>
      </w:r>
      <w:proofErr w:type="spellEnd"/>
      <w:r w:rsidRPr="00F60059">
        <w:rPr>
          <w:i/>
          <w:iCs/>
          <w:lang w:val="fr-CA"/>
        </w:rPr>
        <w:t xml:space="preserve"> c. </w:t>
      </w:r>
      <w:proofErr w:type="spellStart"/>
      <w:r w:rsidRPr="00F60059">
        <w:rPr>
          <w:i/>
          <w:iCs/>
          <w:lang w:val="fr-CA"/>
        </w:rPr>
        <w:t>Human</w:t>
      </w:r>
      <w:proofErr w:type="spellEnd"/>
      <w:r w:rsidRPr="00F60059">
        <w:rPr>
          <w:i/>
          <w:iCs/>
          <w:lang w:val="fr-CA"/>
        </w:rPr>
        <w:t xml:space="preserve"> </w:t>
      </w:r>
      <w:proofErr w:type="spellStart"/>
      <w:r w:rsidRPr="00F60059">
        <w:rPr>
          <w:i/>
          <w:iCs/>
          <w:lang w:val="fr-CA"/>
        </w:rPr>
        <w:t>Rights</w:t>
      </w:r>
      <w:proofErr w:type="spellEnd"/>
      <w:r w:rsidRPr="00F60059">
        <w:rPr>
          <w:i/>
          <w:iCs/>
          <w:lang w:val="fr-CA"/>
        </w:rPr>
        <w:t xml:space="preserve"> Tribunal (B.C.</w:t>
      </w:r>
      <w:r w:rsidRPr="00A72B14">
        <w:rPr>
          <w:i/>
          <w:lang w:val="fr-CA"/>
        </w:rPr>
        <w:t>)</w:t>
      </w:r>
      <w:r w:rsidRPr="00F60059">
        <w:rPr>
          <w:lang w:val="fr-CA"/>
        </w:rPr>
        <w:t xml:space="preserve">, 2006 BCCA 95, 223 B.C.A.C. 71; </w:t>
      </w:r>
      <w:proofErr w:type="spellStart"/>
      <w:r w:rsidRPr="00F60059">
        <w:rPr>
          <w:i/>
          <w:iCs/>
          <w:lang w:val="fr-CA"/>
        </w:rPr>
        <w:t>Hines</w:t>
      </w:r>
      <w:proofErr w:type="spellEnd"/>
      <w:r w:rsidRPr="00F60059">
        <w:rPr>
          <w:i/>
          <w:iCs/>
          <w:lang w:val="fr-CA"/>
        </w:rPr>
        <w:t xml:space="preserve"> c. </w:t>
      </w:r>
      <w:proofErr w:type="spellStart"/>
      <w:r w:rsidRPr="00F60059">
        <w:rPr>
          <w:i/>
          <w:iCs/>
          <w:lang w:val="fr-CA"/>
        </w:rPr>
        <w:t>Canpar</w:t>
      </w:r>
      <w:proofErr w:type="spellEnd"/>
      <w:r w:rsidRPr="00F60059">
        <w:rPr>
          <w:i/>
          <w:iCs/>
          <w:lang w:val="fr-CA"/>
        </w:rPr>
        <w:t xml:space="preserve"> Industries Ltd.</w:t>
      </w:r>
      <w:r w:rsidRPr="00F60059">
        <w:rPr>
          <w:iCs/>
          <w:lang w:val="fr-CA"/>
        </w:rPr>
        <w:t>,</w:t>
      </w:r>
      <w:r w:rsidRPr="00F60059">
        <w:rPr>
          <w:i/>
          <w:iCs/>
          <w:lang w:val="fr-CA"/>
        </w:rPr>
        <w:t xml:space="preserve"> </w:t>
      </w:r>
      <w:r w:rsidRPr="00F60059">
        <w:rPr>
          <w:lang w:val="fr-CA"/>
        </w:rPr>
        <w:t xml:space="preserve">2006 BCSC 800, 55 B.C.L.R. (4th) 372; et </w:t>
      </w:r>
      <w:proofErr w:type="spellStart"/>
      <w:r w:rsidRPr="00F60059">
        <w:rPr>
          <w:i/>
          <w:iCs/>
          <w:lang w:val="fr-CA"/>
        </w:rPr>
        <w:t>Matuszewski</w:t>
      </w:r>
      <w:proofErr w:type="spellEnd"/>
      <w:r w:rsidR="001973F3" w:rsidRPr="00F60059">
        <w:rPr>
          <w:lang w:val="fr-CA"/>
        </w:rPr>
        <w:t>.  La c</w:t>
      </w:r>
      <w:r w:rsidRPr="00F60059">
        <w:rPr>
          <w:lang w:val="fr-CA"/>
        </w:rPr>
        <w:t>our a fondé cette conclusion sur le par. 59(3) de l’</w:t>
      </w:r>
      <w:r w:rsidRPr="00F60059">
        <w:rPr>
          <w:i/>
          <w:lang w:val="fr-CA"/>
        </w:rPr>
        <w:t>ATA</w:t>
      </w:r>
      <w:r w:rsidRPr="00F60059">
        <w:rPr>
          <w:lang w:val="fr-CA"/>
        </w:rPr>
        <w:t xml:space="preserve">, qui définit la norme applicable, et sur le par. 59(4), qui </w:t>
      </w:r>
      <w:proofErr w:type="gramStart"/>
      <w:r w:rsidRPr="00F60059">
        <w:rPr>
          <w:lang w:val="fr-CA"/>
        </w:rPr>
        <w:t>énonce</w:t>
      </w:r>
      <w:proofErr w:type="gramEnd"/>
      <w:r w:rsidRPr="00F60059">
        <w:rPr>
          <w:lang w:val="fr-CA"/>
        </w:rPr>
        <w:t xml:space="preserve"> différents critères présidant à son application :</w:t>
      </w:r>
    </w:p>
    <w:p w:rsidR="00E208A8" w:rsidRPr="00F60059" w:rsidRDefault="00E208A8" w:rsidP="00E208A8">
      <w:pPr>
        <w:pStyle w:val="Citation-AltC"/>
        <w:keepNext/>
        <w:spacing w:after="240"/>
        <w:ind w:hanging="1166"/>
        <w:rPr>
          <w:lang w:val="fr-CA"/>
        </w:rPr>
      </w:pPr>
      <w:r w:rsidRPr="00F60059">
        <w:rPr>
          <w:lang w:val="fr-CA"/>
        </w:rPr>
        <w:tab/>
        <w:t>[</w:t>
      </w:r>
      <w:r w:rsidRPr="00F60059">
        <w:rPr>
          <w:smallCaps/>
          <w:lang w:val="fr-CA"/>
        </w:rPr>
        <w:t>traduction</w:t>
      </w:r>
      <w:r w:rsidRPr="00F60059">
        <w:rPr>
          <w:lang w:val="fr-CA"/>
        </w:rPr>
        <w:t>]</w:t>
      </w:r>
    </w:p>
    <w:p w:rsidR="00E208A8" w:rsidRPr="00F60059" w:rsidRDefault="00610357" w:rsidP="00610357">
      <w:pPr>
        <w:pStyle w:val="Citation-AltC"/>
        <w:tabs>
          <w:tab w:val="left" w:pos="1170"/>
          <w:tab w:val="left" w:pos="1980"/>
        </w:tabs>
        <w:spacing w:after="240"/>
        <w:ind w:left="1980" w:hanging="1980"/>
        <w:rPr>
          <w:lang w:val="fr-CA"/>
        </w:rPr>
      </w:pPr>
      <w:r w:rsidRPr="00F60059">
        <w:rPr>
          <w:b/>
          <w:lang w:val="fr-CA"/>
        </w:rPr>
        <w:tab/>
      </w:r>
      <w:r w:rsidR="00E208A8" w:rsidRPr="00F60059">
        <w:rPr>
          <w:b/>
          <w:lang w:val="fr-CA"/>
        </w:rPr>
        <w:t>59</w:t>
      </w:r>
      <w:r w:rsidR="00E208A8" w:rsidRPr="00F60059">
        <w:rPr>
          <w:lang w:val="fr-CA"/>
        </w:rPr>
        <w:t xml:space="preserve"> (1)</w:t>
      </w:r>
      <w:r w:rsidR="00E208A8" w:rsidRPr="00F60059">
        <w:rPr>
          <w:lang w:val="fr-CA"/>
        </w:rPr>
        <w:tab/>
        <w:t xml:space="preserve">Le contrôle judiciaire d’une décision du tribunal s’effectue suivant la norme de la décision correcte, </w:t>
      </w:r>
      <w:r w:rsidR="00E208A8" w:rsidRPr="00F60059">
        <w:rPr>
          <w:u w:val="single"/>
          <w:lang w:val="fr-CA"/>
        </w:rPr>
        <w:t>sauf à l’égard des questions relatives à l’exercice d’un pouvoir discrétionnaire</w:t>
      </w:r>
      <w:r w:rsidR="00E208A8" w:rsidRPr="00F60059">
        <w:rPr>
          <w:lang w:val="fr-CA"/>
        </w:rPr>
        <w:t xml:space="preserve">, des conclusions de fait et des questions d’application des règles de la </w:t>
      </w:r>
      <w:proofErr w:type="spellStart"/>
      <w:r w:rsidR="00E208A8" w:rsidRPr="00F60059">
        <w:rPr>
          <w:lang w:val="fr-CA"/>
        </w:rPr>
        <w:t>common</w:t>
      </w:r>
      <w:proofErr w:type="spellEnd"/>
      <w:r w:rsidR="00E208A8" w:rsidRPr="00F60059">
        <w:rPr>
          <w:lang w:val="fr-CA"/>
        </w:rPr>
        <w:t xml:space="preserve"> </w:t>
      </w:r>
      <w:proofErr w:type="spellStart"/>
      <w:r w:rsidR="00E208A8" w:rsidRPr="00F60059">
        <w:rPr>
          <w:lang w:val="fr-CA"/>
        </w:rPr>
        <w:t>law</w:t>
      </w:r>
      <w:proofErr w:type="spellEnd"/>
      <w:r w:rsidR="00E208A8" w:rsidRPr="00F60059">
        <w:rPr>
          <w:lang w:val="fr-CA"/>
        </w:rPr>
        <w:t xml:space="preserve"> en matière de justice naturelle et d’équité procédurale.  </w:t>
      </w:r>
    </w:p>
    <w:p w:rsidR="00E208A8" w:rsidRPr="00F60059" w:rsidRDefault="00E208A8" w:rsidP="00E208A8">
      <w:pPr>
        <w:pStyle w:val="Citation-AltC"/>
        <w:spacing w:after="240"/>
        <w:jc w:val="center"/>
        <w:rPr>
          <w:lang w:val="fr-CA"/>
        </w:rPr>
      </w:pPr>
      <w:bookmarkStart w:id="0" w:name="sec59subsec2"/>
      <w:bookmarkEnd w:id="0"/>
      <w:r w:rsidRPr="00F60059">
        <w:rPr>
          <w:lang w:val="fr-CA"/>
        </w:rPr>
        <w:t>. . .</w:t>
      </w:r>
    </w:p>
    <w:p w:rsidR="00E208A8" w:rsidRPr="00F60059" w:rsidRDefault="00610357" w:rsidP="00610357">
      <w:pPr>
        <w:pStyle w:val="Citation-AltC"/>
        <w:tabs>
          <w:tab w:val="left" w:pos="1440"/>
          <w:tab w:val="left" w:pos="1980"/>
        </w:tabs>
        <w:spacing w:after="240"/>
        <w:ind w:left="1980" w:hanging="1980"/>
        <w:rPr>
          <w:lang w:val="fr-CA"/>
        </w:rPr>
      </w:pPr>
      <w:bookmarkStart w:id="1" w:name="sec59subsec3"/>
      <w:bookmarkEnd w:id="1"/>
      <w:r w:rsidRPr="00F60059">
        <w:rPr>
          <w:lang w:val="fr-CA"/>
        </w:rPr>
        <w:tab/>
      </w:r>
      <w:r w:rsidR="00E208A8" w:rsidRPr="00F60059">
        <w:rPr>
          <w:lang w:val="fr-CA"/>
        </w:rPr>
        <w:t>(3)</w:t>
      </w:r>
      <w:r w:rsidR="00E208A8" w:rsidRPr="00F60059">
        <w:rPr>
          <w:lang w:val="fr-CA"/>
        </w:rPr>
        <w:tab/>
        <w:t xml:space="preserve">Une décision </w:t>
      </w:r>
      <w:r w:rsidR="00E208A8" w:rsidRPr="00F60059">
        <w:rPr>
          <w:szCs w:val="20"/>
          <w:lang w:val="fr-CA"/>
        </w:rPr>
        <w:t>discrétionnaire</w:t>
      </w:r>
      <w:r w:rsidR="00E208A8" w:rsidRPr="00F60059">
        <w:rPr>
          <w:lang w:val="fr-CA"/>
        </w:rPr>
        <w:t xml:space="preserve"> du tribunal n’est susceptible d’annulation par un tribunal judiciaire que si elle est manifestement déraisonnable.</w:t>
      </w:r>
    </w:p>
    <w:p w:rsidR="00E208A8" w:rsidRPr="00F60059" w:rsidRDefault="00610357" w:rsidP="00610357">
      <w:pPr>
        <w:pStyle w:val="Citation-AltC"/>
        <w:tabs>
          <w:tab w:val="left" w:pos="1440"/>
          <w:tab w:val="left" w:pos="1980"/>
        </w:tabs>
        <w:spacing w:after="240"/>
        <w:ind w:left="1980" w:hanging="1980"/>
        <w:rPr>
          <w:lang w:val="fr-CA"/>
        </w:rPr>
      </w:pPr>
      <w:bookmarkStart w:id="2" w:name="sec59subsec4"/>
      <w:bookmarkEnd w:id="2"/>
      <w:r w:rsidRPr="00F60059">
        <w:rPr>
          <w:lang w:val="fr-CA"/>
        </w:rPr>
        <w:tab/>
      </w:r>
      <w:r w:rsidR="00E208A8" w:rsidRPr="00F60059">
        <w:rPr>
          <w:lang w:val="fr-CA"/>
        </w:rPr>
        <w:t>(4)</w:t>
      </w:r>
      <w:r w:rsidR="00E208A8" w:rsidRPr="00F60059">
        <w:rPr>
          <w:lang w:val="fr-CA"/>
        </w:rPr>
        <w:tab/>
        <w:t xml:space="preserve">Pour </w:t>
      </w:r>
      <w:r w:rsidR="00E208A8" w:rsidRPr="00F60059">
        <w:rPr>
          <w:szCs w:val="20"/>
          <w:lang w:val="fr-CA"/>
        </w:rPr>
        <w:t>l’application</w:t>
      </w:r>
      <w:r w:rsidR="00E208A8" w:rsidRPr="00F60059">
        <w:rPr>
          <w:lang w:val="fr-CA"/>
        </w:rPr>
        <w:t xml:space="preserve"> du paragraphe précédent, est manifestement déraisonnable une décision discrétionnaire, si le pouvoir </w:t>
      </w:r>
      <w:r w:rsidR="00E208A8" w:rsidRPr="00F60059">
        <w:rPr>
          <w:lang w:val="fr-CA"/>
        </w:rPr>
        <w:lastRenderedPageBreak/>
        <w:t>discrétionnaire a été exercé de l’une ou l’autre des façons suivantes :</w:t>
      </w:r>
    </w:p>
    <w:p w:rsidR="00E208A8" w:rsidRPr="00F60059" w:rsidRDefault="00610357" w:rsidP="00610357">
      <w:pPr>
        <w:pStyle w:val="Citation-AltC"/>
        <w:tabs>
          <w:tab w:val="left" w:pos="1980"/>
          <w:tab w:val="left" w:pos="2520"/>
        </w:tabs>
        <w:spacing w:after="240"/>
        <w:ind w:left="2520" w:hanging="2520"/>
        <w:rPr>
          <w:lang w:val="fr-CA"/>
        </w:rPr>
      </w:pPr>
      <w:r w:rsidRPr="00F60059">
        <w:rPr>
          <w:lang w:val="fr-CA"/>
        </w:rPr>
        <w:tab/>
      </w:r>
      <w:r w:rsidR="00E208A8" w:rsidRPr="00F60059">
        <w:rPr>
          <w:lang w:val="fr-CA"/>
        </w:rPr>
        <w:t>a)</w:t>
      </w:r>
      <w:r w:rsidR="006D259A">
        <w:rPr>
          <w:lang w:val="fr-CA"/>
        </w:rPr>
        <w:tab/>
      </w:r>
      <w:r w:rsidR="00E208A8" w:rsidRPr="006D259A">
        <w:rPr>
          <w:szCs w:val="20"/>
          <w:lang w:val="fr-CA"/>
        </w:rPr>
        <w:t>arbitrairement</w:t>
      </w:r>
      <w:r w:rsidR="00E208A8" w:rsidRPr="00F60059">
        <w:rPr>
          <w:lang w:val="fr-CA"/>
        </w:rPr>
        <w:t xml:space="preserve"> ou de mauvaise foi;</w:t>
      </w:r>
    </w:p>
    <w:p w:rsidR="00E208A8" w:rsidRPr="00F60059" w:rsidRDefault="00610357" w:rsidP="00610357">
      <w:pPr>
        <w:pStyle w:val="Citation-AltC"/>
        <w:tabs>
          <w:tab w:val="left" w:pos="1980"/>
          <w:tab w:val="left" w:pos="2520"/>
        </w:tabs>
        <w:spacing w:after="240"/>
        <w:ind w:left="2520" w:hanging="2520"/>
        <w:rPr>
          <w:lang w:val="fr-CA"/>
        </w:rPr>
      </w:pPr>
      <w:r w:rsidRPr="00F60059">
        <w:rPr>
          <w:lang w:val="fr-CA"/>
        </w:rPr>
        <w:tab/>
      </w:r>
      <w:r w:rsidR="00E208A8" w:rsidRPr="00F60059">
        <w:rPr>
          <w:lang w:val="fr-CA"/>
        </w:rPr>
        <w:t>b)</w:t>
      </w:r>
      <w:r w:rsidR="00E208A8" w:rsidRPr="00F60059">
        <w:rPr>
          <w:lang w:val="fr-CA"/>
        </w:rPr>
        <w:tab/>
        <w:t xml:space="preserve">à des fins </w:t>
      </w:r>
      <w:r w:rsidR="00E208A8" w:rsidRPr="006D259A">
        <w:rPr>
          <w:szCs w:val="20"/>
          <w:lang w:val="fr-CA"/>
        </w:rPr>
        <w:t>illégitimes</w:t>
      </w:r>
      <w:r w:rsidR="00E208A8" w:rsidRPr="00F60059">
        <w:rPr>
          <w:lang w:val="fr-CA"/>
        </w:rPr>
        <w:t>;</w:t>
      </w:r>
    </w:p>
    <w:p w:rsidR="00E208A8" w:rsidRPr="00F60059" w:rsidRDefault="00610357" w:rsidP="00610357">
      <w:pPr>
        <w:pStyle w:val="Citation-AltC"/>
        <w:tabs>
          <w:tab w:val="left" w:pos="1980"/>
          <w:tab w:val="left" w:pos="2520"/>
        </w:tabs>
        <w:spacing w:after="240"/>
        <w:ind w:left="2520" w:hanging="2520"/>
        <w:rPr>
          <w:lang w:val="fr-CA"/>
        </w:rPr>
      </w:pPr>
      <w:r w:rsidRPr="00F60059">
        <w:rPr>
          <w:lang w:val="fr-CA"/>
        </w:rPr>
        <w:tab/>
      </w:r>
      <w:r w:rsidR="00E208A8" w:rsidRPr="00F60059">
        <w:rPr>
          <w:lang w:val="fr-CA"/>
        </w:rPr>
        <w:t>c)</w:t>
      </w:r>
      <w:r w:rsidR="00E208A8" w:rsidRPr="00F60059">
        <w:rPr>
          <w:lang w:val="fr-CA"/>
        </w:rPr>
        <w:tab/>
        <w:t>entièrement ou principalement sur le fondement de facteurs non pertinents;</w:t>
      </w:r>
    </w:p>
    <w:p w:rsidR="00E208A8" w:rsidRPr="00F60059" w:rsidRDefault="00610357" w:rsidP="00610357">
      <w:pPr>
        <w:pStyle w:val="Citation-AltC"/>
        <w:tabs>
          <w:tab w:val="left" w:pos="1980"/>
          <w:tab w:val="left" w:pos="2520"/>
        </w:tabs>
        <w:ind w:left="2520" w:hanging="2520"/>
        <w:rPr>
          <w:lang w:val="fr-CA"/>
        </w:rPr>
      </w:pPr>
      <w:r w:rsidRPr="00F60059">
        <w:rPr>
          <w:lang w:val="fr-CA"/>
        </w:rPr>
        <w:tab/>
      </w:r>
      <w:r w:rsidR="00E208A8" w:rsidRPr="00F60059">
        <w:rPr>
          <w:lang w:val="fr-CA"/>
        </w:rPr>
        <w:t>d)</w:t>
      </w:r>
      <w:r w:rsidR="00E208A8" w:rsidRPr="00F60059">
        <w:rPr>
          <w:lang w:val="fr-CA"/>
        </w:rPr>
        <w:tab/>
        <w:t xml:space="preserve">sans tenir </w:t>
      </w:r>
      <w:r w:rsidR="00E208A8" w:rsidRPr="006D259A">
        <w:rPr>
          <w:szCs w:val="20"/>
          <w:lang w:val="fr-CA"/>
        </w:rPr>
        <w:t>compte</w:t>
      </w:r>
      <w:r w:rsidR="00E208A8" w:rsidRPr="00F60059">
        <w:rPr>
          <w:lang w:val="fr-CA"/>
        </w:rPr>
        <w:t xml:space="preserve"> d’exigences prévues par la loi.</w:t>
      </w:r>
    </w:p>
    <w:p w:rsidR="00E208A8" w:rsidRPr="00F60059" w:rsidRDefault="00E208A8" w:rsidP="00E208A8">
      <w:pPr>
        <w:pStyle w:val="ParaNoNdepar-AltN"/>
        <w:rPr>
          <w:lang w:val="fr-CA"/>
        </w:rPr>
      </w:pPr>
      <w:r w:rsidRPr="00F60059">
        <w:rPr>
          <w:lang w:val="fr-CA"/>
        </w:rPr>
        <w:t>La Cour d’appel a conclu que la décision du Tribunal n’était pa</w:t>
      </w:r>
      <w:r w:rsidR="00610357" w:rsidRPr="00F60059">
        <w:rPr>
          <w:lang w:val="fr-CA"/>
        </w:rPr>
        <w:t xml:space="preserve">s manifestement déraisonnable. </w:t>
      </w:r>
    </w:p>
    <w:p w:rsidR="00E208A8" w:rsidRPr="00F60059" w:rsidRDefault="00E208A8" w:rsidP="00E208A8">
      <w:pPr>
        <w:pStyle w:val="ParaNoNdepar-AltN"/>
        <w:rPr>
          <w:lang w:val="fr-CA"/>
        </w:rPr>
      </w:pPr>
      <w:r w:rsidRPr="00F60059">
        <w:rPr>
          <w:lang w:val="fr-CA"/>
        </w:rPr>
        <w:t>Je souscris à la conclusion que, compte tenu des dispositions du par. 59(3) de l’</w:t>
      </w:r>
      <w:r w:rsidRPr="00F60059">
        <w:rPr>
          <w:i/>
          <w:lang w:val="fr-CA"/>
        </w:rPr>
        <w:t>ATA</w:t>
      </w:r>
      <w:r w:rsidRPr="00F60059">
        <w:rPr>
          <w:lang w:val="fr-CA"/>
        </w:rPr>
        <w:t xml:space="preserve">, la norme de contrôle applicable est celle de la décision manifestement déraisonnable.  Cela dit, j’estime toutefois respectueusement que la décision du Tribunal de ne pas rejeter les plaintes répond à cette norme. </w:t>
      </w:r>
    </w:p>
    <w:p w:rsidR="00E208A8" w:rsidRPr="00F60059" w:rsidRDefault="00E208A8" w:rsidP="00E208A8">
      <w:pPr>
        <w:pStyle w:val="TitleTitre-AltT"/>
        <w:keepNext/>
        <w:spacing w:before="0" w:after="720"/>
        <w:ind w:left="0" w:firstLine="0"/>
        <w:rPr>
          <w:u w:val="single"/>
          <w:lang w:val="fr-CA"/>
        </w:rPr>
      </w:pPr>
      <w:r w:rsidRPr="00F60059">
        <w:rPr>
          <w:u w:val="single"/>
          <w:lang w:val="fr-CA"/>
        </w:rPr>
        <w:t>Analyse</w:t>
      </w:r>
    </w:p>
    <w:p w:rsidR="00E208A8" w:rsidRPr="00F60059" w:rsidRDefault="00E208A8" w:rsidP="00E208A8">
      <w:pPr>
        <w:pStyle w:val="ParaNoNdepar-AltN"/>
        <w:widowControl w:val="0"/>
        <w:rPr>
          <w:b/>
          <w:bCs/>
          <w:lang w:val="fr-CA"/>
        </w:rPr>
      </w:pPr>
      <w:r w:rsidRPr="00F60059">
        <w:rPr>
          <w:lang w:val="fr-CA"/>
        </w:rPr>
        <w:t xml:space="preserve">La question de la compétence ne se pose pas véritablement en l’espèce. Depuis l’arrêt </w:t>
      </w:r>
      <w:proofErr w:type="spellStart"/>
      <w:r w:rsidRPr="00F60059">
        <w:rPr>
          <w:i/>
          <w:iCs/>
          <w:lang w:val="fr-CA"/>
        </w:rPr>
        <w:t>Tranchemontagne</w:t>
      </w:r>
      <w:proofErr w:type="spellEnd"/>
      <w:r w:rsidRPr="00F60059">
        <w:rPr>
          <w:iCs/>
          <w:lang w:val="fr-CA"/>
        </w:rPr>
        <w:t>,</w:t>
      </w:r>
      <w:r w:rsidRPr="00F60059">
        <w:rPr>
          <w:i/>
          <w:iCs/>
          <w:lang w:val="fr-CA"/>
        </w:rPr>
        <w:t xml:space="preserve"> </w:t>
      </w:r>
      <w:r w:rsidRPr="00F60059">
        <w:rPr>
          <w:lang w:val="fr-CA"/>
        </w:rPr>
        <w:t>les tribunaux administratifs autres que les commissions des droits de la personne ont raison de considérer que, lorsque le législateur n’exprime pas d’intention contraire, ils exercent une compétence concurrente en matière d’application des lois sur les droits de la personne.  Il s’ensuit que, à l’époque où les plaintes en cause en l’espèce ont été déposées, soit avant que les modifications à l’</w:t>
      </w:r>
      <w:r w:rsidRPr="00F60059">
        <w:rPr>
          <w:i/>
          <w:lang w:val="fr-CA"/>
        </w:rPr>
        <w:t>ATA</w:t>
      </w:r>
      <w:r w:rsidRPr="00F60059">
        <w:rPr>
          <w:lang w:val="fr-CA"/>
        </w:rPr>
        <w:t xml:space="preserve"> ne retirent au WCAT sa compétence en matière de droits de </w:t>
      </w:r>
      <w:r w:rsidRPr="00F60059">
        <w:rPr>
          <w:lang w:val="fr-CA"/>
        </w:rPr>
        <w:lastRenderedPageBreak/>
        <w:t xml:space="preserve">la personne, la Commission </w:t>
      </w:r>
      <w:r w:rsidRPr="00F60059">
        <w:rPr>
          <w:i/>
          <w:lang w:val="fr-CA"/>
        </w:rPr>
        <w:t>et</w:t>
      </w:r>
      <w:r w:rsidRPr="00F60059">
        <w:rPr>
          <w:lang w:val="fr-CA"/>
        </w:rPr>
        <w:t xml:space="preserve"> le Tribunal avaient manifestement tous deux compétence pour entendre des plaintes en cette matière.  Puisque les plaignants ont saisi la Commission, et puisque </w:t>
      </w:r>
      <w:proofErr w:type="spellStart"/>
      <w:r w:rsidRPr="00F60059">
        <w:rPr>
          <w:lang w:val="fr-CA"/>
        </w:rPr>
        <w:t>celle</w:t>
      </w:r>
      <w:r w:rsidRPr="00F60059">
        <w:rPr>
          <w:lang w:val="fr-CA"/>
        </w:rPr>
        <w:noBreakHyphen/>
        <w:t>ci</w:t>
      </w:r>
      <w:proofErr w:type="spellEnd"/>
      <w:r w:rsidRPr="00F60059">
        <w:rPr>
          <w:lang w:val="fr-CA"/>
        </w:rPr>
        <w:t xml:space="preserve"> était habilitée, tout autant que le Tribunal, à entendre l’affaire, la Commission agissait dans le cadre de sa compétence lorsqu’elle s’est prononcée sur les questions de droits de la personne.  Cependant, vu leur compétence concurrente au moment où la Commission a été saisie de l’affaire, on ne peut guère douter que le Tribunal était lui aussi habilité, en théorie, à connaître de ces plaintes relatives aux droits de la personn</w:t>
      </w:r>
      <w:r w:rsidR="00683BC4">
        <w:rPr>
          <w:lang w:val="fr-CA"/>
        </w:rPr>
        <w:t>e.  Par conséquent, l’al. 27(1)</w:t>
      </w:r>
      <w:r w:rsidRPr="00F60059">
        <w:rPr>
          <w:lang w:val="fr-CA"/>
        </w:rPr>
        <w:t xml:space="preserve">a) du </w:t>
      </w:r>
      <w:r w:rsidRPr="00F60059">
        <w:rPr>
          <w:i/>
          <w:lang w:val="fr-CA"/>
        </w:rPr>
        <w:t>Code</w:t>
      </w:r>
      <w:r w:rsidRPr="00F60059">
        <w:rPr>
          <w:lang w:val="fr-CA"/>
        </w:rPr>
        <w:t xml:space="preserve"> ne joue pas en l’espèce. </w:t>
      </w:r>
    </w:p>
    <w:p w:rsidR="00E208A8" w:rsidRPr="00F60059" w:rsidRDefault="00E208A8" w:rsidP="00E208A8">
      <w:pPr>
        <w:pStyle w:val="ParaNoNdepar-AltN"/>
        <w:rPr>
          <w:b/>
          <w:bCs/>
          <w:lang w:val="fr-CA"/>
        </w:rPr>
      </w:pPr>
      <w:r w:rsidRPr="00F60059">
        <w:rPr>
          <w:lang w:val="fr-CA"/>
        </w:rPr>
        <w:t xml:space="preserve">La question qui se pose alors est donc celle de savoir sur quoi doit se fonder le Tribunal, en cas de compétence concurrente en matière de droits de la personne, pour déterminer s’il y a lieu de rejeter une plainte en totalité ou en partie en application de l’al. 27(1)f) parce qu’un autre tribunal administratif a déjà statué sur le fond de l’affaire. </w:t>
      </w:r>
    </w:p>
    <w:p w:rsidR="00E208A8" w:rsidRPr="00F60059" w:rsidRDefault="00E208A8" w:rsidP="00E208A8">
      <w:pPr>
        <w:pStyle w:val="ParaNoNdepar-AltN"/>
        <w:rPr>
          <w:lang w:val="fr-CA"/>
        </w:rPr>
      </w:pPr>
      <w:bookmarkStart w:id="3" w:name="sec59subsec5"/>
      <w:bookmarkEnd w:id="3"/>
      <w:r w:rsidRPr="00F60059">
        <w:rPr>
          <w:lang w:val="fr-CA"/>
        </w:rPr>
        <w:t xml:space="preserve">Dans </w:t>
      </w:r>
      <w:proofErr w:type="spellStart"/>
      <w:r w:rsidRPr="00F60059">
        <w:rPr>
          <w:i/>
          <w:iCs/>
          <w:lang w:val="fr-CA"/>
        </w:rPr>
        <w:t>Matuszewski</w:t>
      </w:r>
      <w:proofErr w:type="spellEnd"/>
      <w:r w:rsidRPr="00F60059">
        <w:rPr>
          <w:lang w:val="fr-CA"/>
        </w:rPr>
        <w:t xml:space="preserve">, le juge </w:t>
      </w:r>
      <w:proofErr w:type="spellStart"/>
      <w:r w:rsidRPr="00F60059">
        <w:rPr>
          <w:lang w:val="fr-CA"/>
        </w:rPr>
        <w:t>Pitfield</w:t>
      </w:r>
      <w:proofErr w:type="spellEnd"/>
      <w:r w:rsidRPr="00F60059">
        <w:rPr>
          <w:lang w:val="fr-CA"/>
        </w:rPr>
        <w:t xml:space="preserve"> a examiné les limites de cette disposition ainsi que les concepts qu’elle vise.  Dans cette affaire, il était question d’une convention collective qui suspendait l’accumulation d’ancienneté pendant les périodes d’incapacité prolongée.  Le syndicat avait soumis un grief fondé sur le caractère discriminatoire de la clause. L’arbitre avait toutefois conclu qu’il n’y avait pas discrimination, et le syndicat n’avait pas exercé de recours en contrôle judiciaire.  Un employé de l’unité de négociation avait déposé, devant le Tribunal des droits de la </w:t>
      </w:r>
      <w:r w:rsidRPr="00F60059">
        <w:rPr>
          <w:lang w:val="fr-CA"/>
        </w:rPr>
        <w:lastRenderedPageBreak/>
        <w:t xml:space="preserve">personne, une plainte alléguant que la même clause de la convention collective était discriminatoire.  Le Tribunal a refusé de rejeter la nouvelle plainte.  </w:t>
      </w:r>
    </w:p>
    <w:p w:rsidR="00E208A8" w:rsidRPr="00F60059" w:rsidRDefault="00E208A8" w:rsidP="00E208A8">
      <w:pPr>
        <w:pStyle w:val="ParaNoNdepar-AltN"/>
        <w:rPr>
          <w:lang w:val="fr-CA"/>
        </w:rPr>
      </w:pPr>
      <w:r w:rsidRPr="00F60059">
        <w:rPr>
          <w:lang w:val="fr-CA"/>
        </w:rPr>
        <w:t xml:space="preserve">Saisi d’une demande de contrôle judiciaire, le juge </w:t>
      </w:r>
      <w:proofErr w:type="spellStart"/>
      <w:r w:rsidRPr="00F60059">
        <w:rPr>
          <w:lang w:val="fr-CA"/>
        </w:rPr>
        <w:t>Pitfield</w:t>
      </w:r>
      <w:proofErr w:type="spellEnd"/>
      <w:r w:rsidRPr="00F60059">
        <w:rPr>
          <w:lang w:val="fr-CA"/>
        </w:rPr>
        <w:t xml:space="preserve"> a conclu que la décision du Tribunal de ne pas rejeter la plainte était manifestement déraisonnable.  Selon lui, l’al. 27(1)f) est le moyen que le législateur a mis à la disposition du Tribunal pour éviter le prononcé de décisions contradictoires dans des affaires portant sur les mêmes faits, situation qui peut se produire en raison de la compétence concurrente que le Tribunal et d’autres tribunaux administratifs exercent à l’égard du </w:t>
      </w:r>
      <w:r w:rsidRPr="00F60059">
        <w:rPr>
          <w:i/>
          <w:lang w:val="fr-CA"/>
        </w:rPr>
        <w:t>Code</w:t>
      </w:r>
      <w:r w:rsidRPr="00F60059">
        <w:rPr>
          <w:lang w:val="fr-CA"/>
        </w:rPr>
        <w:t xml:space="preserve">.  Bien que l’al. 27(1)f) n’exige pas la stricte application des règles en matière de </w:t>
      </w:r>
      <w:proofErr w:type="spellStart"/>
      <w:r w:rsidRPr="00F60059">
        <w:rPr>
          <w:lang w:val="fr-CA"/>
        </w:rPr>
        <w:t>préclusion</w:t>
      </w:r>
      <w:proofErr w:type="spellEnd"/>
      <w:r w:rsidRPr="00F60059">
        <w:rPr>
          <w:lang w:val="fr-CA"/>
        </w:rPr>
        <w:t xml:space="preserve"> découlant d’une question déjà tranchée, de contestation indirecte ou d’abus de procédure, les principes fondateurs de ces trois doctrines demeurent [</w:t>
      </w:r>
      <w:r w:rsidRPr="00F60059">
        <w:rPr>
          <w:smallCaps/>
          <w:lang w:val="fr-CA"/>
        </w:rPr>
        <w:t>traduction</w:t>
      </w:r>
      <w:r w:rsidRPr="00F60059">
        <w:rPr>
          <w:lang w:val="fr-CA"/>
        </w:rPr>
        <w:t xml:space="preserve">] « des facteurs primordiaux à prendre en compte dans l’exercice du pouvoir discrétionnaire d’entendre ou non une </w:t>
      </w:r>
      <w:r w:rsidR="00C17CD8">
        <w:rPr>
          <w:lang w:val="fr-CA"/>
        </w:rPr>
        <w:t>plainte conféré par l’al. 27(1)</w:t>
      </w:r>
      <w:r w:rsidRPr="00F60059">
        <w:rPr>
          <w:lang w:val="fr-CA"/>
        </w:rPr>
        <w:t xml:space="preserve">f) du </w:t>
      </w:r>
      <w:proofErr w:type="spellStart"/>
      <w:r w:rsidRPr="00F60059">
        <w:rPr>
          <w:i/>
          <w:iCs/>
          <w:lang w:val="fr-CA"/>
        </w:rPr>
        <w:t>Human</w:t>
      </w:r>
      <w:proofErr w:type="spellEnd"/>
      <w:r w:rsidRPr="00F60059">
        <w:rPr>
          <w:i/>
          <w:iCs/>
          <w:lang w:val="fr-CA"/>
        </w:rPr>
        <w:t xml:space="preserve"> </w:t>
      </w:r>
      <w:proofErr w:type="spellStart"/>
      <w:r w:rsidRPr="00F60059">
        <w:rPr>
          <w:i/>
          <w:iCs/>
          <w:lang w:val="fr-CA"/>
        </w:rPr>
        <w:t>Rights</w:t>
      </w:r>
      <w:proofErr w:type="spellEnd"/>
      <w:r w:rsidRPr="00F60059">
        <w:rPr>
          <w:i/>
          <w:iCs/>
          <w:lang w:val="fr-CA"/>
        </w:rPr>
        <w:t xml:space="preserve"> Code</w:t>
      </w:r>
      <w:r w:rsidRPr="00F60059">
        <w:rPr>
          <w:lang w:val="fr-CA"/>
        </w:rPr>
        <w:t> » (par. 31).</w:t>
      </w:r>
    </w:p>
    <w:p w:rsidR="00E208A8" w:rsidRPr="00F60059" w:rsidRDefault="00E208A8" w:rsidP="00E208A8">
      <w:pPr>
        <w:pStyle w:val="ParaNoNdepar-AltN"/>
        <w:rPr>
          <w:lang w:val="fr-CA"/>
        </w:rPr>
      </w:pPr>
      <w:r w:rsidRPr="00F60059">
        <w:rPr>
          <w:lang w:val="fr-CA"/>
        </w:rPr>
        <w:t xml:space="preserve">Comme le juge </w:t>
      </w:r>
      <w:proofErr w:type="spellStart"/>
      <w:r w:rsidRPr="00F60059">
        <w:rPr>
          <w:lang w:val="fr-CA"/>
        </w:rPr>
        <w:t>Pitfield</w:t>
      </w:r>
      <w:proofErr w:type="spellEnd"/>
      <w:r w:rsidRPr="00F60059">
        <w:rPr>
          <w:lang w:val="fr-CA"/>
        </w:rPr>
        <w:t xml:space="preserve">, je suis d’avis que l’al. 27(1)f) reflète l’ensemble des principes </w:t>
      </w:r>
      <w:proofErr w:type="spellStart"/>
      <w:r w:rsidRPr="00F60059">
        <w:rPr>
          <w:lang w:val="fr-CA"/>
        </w:rPr>
        <w:t>sous</w:t>
      </w:r>
      <w:r w:rsidRPr="00F60059">
        <w:rPr>
          <w:lang w:val="fr-CA"/>
        </w:rPr>
        <w:noBreakHyphen/>
        <w:t>jacents</w:t>
      </w:r>
      <w:proofErr w:type="spellEnd"/>
      <w:r w:rsidRPr="00F60059">
        <w:rPr>
          <w:lang w:val="fr-CA"/>
        </w:rPr>
        <w:t xml:space="preserve"> de ces règles, auxquelles la </w:t>
      </w:r>
      <w:proofErr w:type="spellStart"/>
      <w:r w:rsidRPr="00F60059">
        <w:rPr>
          <w:lang w:val="fr-CA"/>
        </w:rPr>
        <w:t>common</w:t>
      </w:r>
      <w:proofErr w:type="spellEnd"/>
      <w:r w:rsidRPr="00F60059">
        <w:rPr>
          <w:lang w:val="fr-CA"/>
        </w:rPr>
        <w:t xml:space="preserve"> </w:t>
      </w:r>
      <w:proofErr w:type="spellStart"/>
      <w:r w:rsidRPr="00F60059">
        <w:rPr>
          <w:lang w:val="fr-CA"/>
        </w:rPr>
        <w:t>law</w:t>
      </w:r>
      <w:proofErr w:type="spellEnd"/>
      <w:r w:rsidRPr="00F60059">
        <w:rPr>
          <w:lang w:val="fr-CA"/>
        </w:rPr>
        <w:t xml:space="preserve"> a eu recours comme véhicule pour porter, en contexte de procédures judiciaires, les principes de caractère définitif des instances, de prévention de leur multiplication et de protection de l’intégrité de l’administration de la justice, dans chaque cas, par souci d’équité.  Ces principes animent également le droit civil (</w:t>
      </w:r>
      <w:r w:rsidRPr="00F60059">
        <w:rPr>
          <w:i/>
          <w:lang w:val="fr-CA"/>
        </w:rPr>
        <w:t>Code civil du Québec</w:t>
      </w:r>
      <w:r w:rsidRPr="00F60059">
        <w:rPr>
          <w:lang w:val="fr-CA"/>
        </w:rPr>
        <w:t>,</w:t>
      </w:r>
      <w:r w:rsidRPr="00F60059">
        <w:rPr>
          <w:i/>
          <w:iCs/>
          <w:lang w:val="fr-CA"/>
        </w:rPr>
        <w:t xml:space="preserve"> </w:t>
      </w:r>
      <w:r w:rsidRPr="00F60059">
        <w:rPr>
          <w:iCs/>
          <w:lang w:val="fr-CA"/>
        </w:rPr>
        <w:t xml:space="preserve">L.Q. 1991, </w:t>
      </w:r>
      <w:r w:rsidRPr="00F60059">
        <w:rPr>
          <w:iCs/>
          <w:lang w:val="fr-CA"/>
        </w:rPr>
        <w:lastRenderedPageBreak/>
        <w:t xml:space="preserve">ch. 64, </w:t>
      </w:r>
      <w:r w:rsidRPr="00F60059">
        <w:rPr>
          <w:lang w:val="fr-CA"/>
        </w:rPr>
        <w:t xml:space="preserve">art. 2848; </w:t>
      </w:r>
      <w:r w:rsidRPr="00F60059">
        <w:rPr>
          <w:i/>
          <w:iCs/>
          <w:lang w:val="fr-CA"/>
        </w:rPr>
        <w:t xml:space="preserve">Boucher c. </w:t>
      </w:r>
      <w:proofErr w:type="spellStart"/>
      <w:r w:rsidRPr="00F60059">
        <w:rPr>
          <w:i/>
          <w:iCs/>
          <w:lang w:val="fr-CA"/>
        </w:rPr>
        <w:t>Stelco</w:t>
      </w:r>
      <w:proofErr w:type="spellEnd"/>
      <w:r w:rsidRPr="00F60059">
        <w:rPr>
          <w:i/>
          <w:iCs/>
          <w:lang w:val="fr-CA"/>
        </w:rPr>
        <w:t xml:space="preserve"> Inc.</w:t>
      </w:r>
      <w:r w:rsidRPr="00F60059">
        <w:rPr>
          <w:lang w:val="fr-CA"/>
        </w:rPr>
        <w:t xml:space="preserve">, 2005 CSC 64, [2005] 3 R.C.S. 279; </w:t>
      </w:r>
      <w:proofErr w:type="spellStart"/>
      <w:r w:rsidRPr="00F60059">
        <w:rPr>
          <w:i/>
          <w:iCs/>
          <w:lang w:val="fr-CA"/>
        </w:rPr>
        <w:t>Rocois</w:t>
      </w:r>
      <w:proofErr w:type="spellEnd"/>
      <w:r w:rsidRPr="00F60059">
        <w:rPr>
          <w:i/>
          <w:iCs/>
          <w:lang w:val="fr-CA"/>
        </w:rPr>
        <w:t xml:space="preserve"> Construction Inc. c. Québec </w:t>
      </w:r>
      <w:proofErr w:type="spellStart"/>
      <w:r w:rsidRPr="00F60059">
        <w:rPr>
          <w:i/>
          <w:iCs/>
          <w:lang w:val="fr-CA"/>
        </w:rPr>
        <w:t>Ready</w:t>
      </w:r>
      <w:proofErr w:type="spellEnd"/>
      <w:r w:rsidRPr="00F60059">
        <w:rPr>
          <w:i/>
          <w:iCs/>
          <w:lang w:val="fr-CA"/>
        </w:rPr>
        <w:t xml:space="preserve"> Mix Inc.</w:t>
      </w:r>
      <w:r w:rsidRPr="00F60059">
        <w:rPr>
          <w:lang w:val="fr-CA"/>
        </w:rPr>
        <w:t xml:space="preserve">, [1990] 2 R.C.S. 440, p. 448).  </w:t>
      </w:r>
    </w:p>
    <w:p w:rsidR="00E208A8" w:rsidRPr="00F60059" w:rsidRDefault="00E208A8" w:rsidP="00E208A8">
      <w:pPr>
        <w:pStyle w:val="ParaNoNdepar-AltN"/>
        <w:rPr>
          <w:lang w:val="fr-CA"/>
        </w:rPr>
      </w:pPr>
      <w:r w:rsidRPr="00F60059">
        <w:rPr>
          <w:lang w:val="fr-CA"/>
        </w:rPr>
        <w:t xml:space="preserve">Puisque de multiples tribunaux exercent fréquemment des compétences concurrentes quant aux mêmes questions, il n’est pas surprenant que les doctrines de </w:t>
      </w:r>
      <w:proofErr w:type="spellStart"/>
      <w:r w:rsidRPr="00F60059">
        <w:rPr>
          <w:lang w:val="fr-CA"/>
        </w:rPr>
        <w:t>common</w:t>
      </w:r>
      <w:proofErr w:type="spellEnd"/>
      <w:r w:rsidRPr="00F60059">
        <w:rPr>
          <w:lang w:val="fr-CA"/>
        </w:rPr>
        <w:t xml:space="preserve"> </w:t>
      </w:r>
      <w:proofErr w:type="spellStart"/>
      <w:r w:rsidRPr="00F60059">
        <w:rPr>
          <w:lang w:val="fr-CA"/>
        </w:rPr>
        <w:t>law</w:t>
      </w:r>
      <w:proofErr w:type="spellEnd"/>
      <w:r w:rsidRPr="00F60059">
        <w:rPr>
          <w:lang w:val="fr-CA"/>
        </w:rPr>
        <w:t xml:space="preserve"> s’appliquent également en contexte de droit administratif sous la forme de mécanismes légaux com</w:t>
      </w:r>
      <w:r w:rsidR="001A5A6E">
        <w:rPr>
          <w:lang w:val="fr-CA"/>
        </w:rPr>
        <w:t>me celui qu’établit l’al. 27(1)</w:t>
      </w:r>
      <w:r w:rsidRPr="00F60059">
        <w:rPr>
          <w:lang w:val="fr-CA"/>
        </w:rPr>
        <w:t xml:space="preserve">f).  Par conséquent, un bref examen de ces doctrines pourrait permettre de mieux évaluer si leurs principes </w:t>
      </w:r>
      <w:proofErr w:type="spellStart"/>
      <w:r w:rsidRPr="00F60059">
        <w:rPr>
          <w:lang w:val="fr-CA"/>
        </w:rPr>
        <w:t>sous</w:t>
      </w:r>
      <w:r w:rsidRPr="00F60059">
        <w:rPr>
          <w:lang w:val="fr-CA"/>
        </w:rPr>
        <w:noBreakHyphen/>
        <w:t>jacents</w:t>
      </w:r>
      <w:proofErr w:type="spellEnd"/>
      <w:r w:rsidRPr="00F60059">
        <w:rPr>
          <w:lang w:val="fr-CA"/>
        </w:rPr>
        <w:t xml:space="preserve"> ont été respectés en l’espèce. </w:t>
      </w:r>
    </w:p>
    <w:p w:rsidR="00E208A8" w:rsidRPr="00F60059" w:rsidRDefault="00E208A8" w:rsidP="00E208A8">
      <w:pPr>
        <w:pStyle w:val="ParaNoNdepar-AltN"/>
        <w:rPr>
          <w:lang w:val="fr-CA"/>
        </w:rPr>
      </w:pPr>
      <w:r w:rsidRPr="00F60059">
        <w:rPr>
          <w:lang w:val="fr-CA"/>
        </w:rPr>
        <w:t xml:space="preserve">Les trois conditions d’application de la </w:t>
      </w:r>
      <w:proofErr w:type="spellStart"/>
      <w:r w:rsidRPr="00F60059">
        <w:rPr>
          <w:lang w:val="fr-CA"/>
        </w:rPr>
        <w:t>préclusion</w:t>
      </w:r>
      <w:proofErr w:type="spellEnd"/>
      <w:r w:rsidRPr="00F60059">
        <w:rPr>
          <w:lang w:val="fr-CA"/>
        </w:rPr>
        <w:t xml:space="preserve"> découlant d’une question déjà tranchée sont que la même question ait été décidée, que la décision déjà rendue soit définitive et que les parties, ou leurs ayants droit, soient les mêmes (</w:t>
      </w:r>
      <w:r w:rsidRPr="00F60059">
        <w:rPr>
          <w:i/>
          <w:iCs/>
          <w:lang w:val="fr-CA"/>
        </w:rPr>
        <w:t xml:space="preserve">Angle c. Ministre du Revenu </w:t>
      </w:r>
      <w:r w:rsidR="00A72B14">
        <w:rPr>
          <w:i/>
          <w:iCs/>
          <w:lang w:val="fr-CA"/>
        </w:rPr>
        <w:t>N</w:t>
      </w:r>
      <w:r w:rsidRPr="00F60059">
        <w:rPr>
          <w:i/>
          <w:iCs/>
          <w:lang w:val="fr-CA"/>
        </w:rPr>
        <w:t>ational</w:t>
      </w:r>
      <w:r w:rsidRPr="00F60059">
        <w:rPr>
          <w:lang w:val="fr-CA"/>
        </w:rPr>
        <w:t xml:space="preserve">, [1975] 2 R.C.S. 248, p. 254).  La décision la plus récente de notre Cour sur ces notions est l’arrêt </w:t>
      </w:r>
      <w:proofErr w:type="spellStart"/>
      <w:r w:rsidRPr="00F60059">
        <w:rPr>
          <w:i/>
          <w:iCs/>
          <w:lang w:val="fr-CA"/>
        </w:rPr>
        <w:t>Danyluk</w:t>
      </w:r>
      <w:proofErr w:type="spellEnd"/>
      <w:r w:rsidRPr="00F60059">
        <w:rPr>
          <w:lang w:val="fr-CA"/>
        </w:rPr>
        <w:t xml:space="preserve">; le juge </w:t>
      </w:r>
      <w:proofErr w:type="spellStart"/>
      <w:r w:rsidRPr="00F60059">
        <w:rPr>
          <w:lang w:val="fr-CA"/>
        </w:rPr>
        <w:t>Binnie</w:t>
      </w:r>
      <w:proofErr w:type="spellEnd"/>
      <w:r w:rsidRPr="00F60059">
        <w:rPr>
          <w:lang w:val="fr-CA"/>
        </w:rPr>
        <w:t xml:space="preserve"> y a souligné l’importance du caractè</w:t>
      </w:r>
      <w:r w:rsidR="001973F3" w:rsidRPr="00F60059">
        <w:rPr>
          <w:lang w:val="fr-CA"/>
        </w:rPr>
        <w:t>re définitif des litiges : « . . . u</w:t>
      </w:r>
      <w:r w:rsidRPr="00F60059">
        <w:rPr>
          <w:lang w:val="fr-CA"/>
        </w:rPr>
        <w:t xml:space="preserve">n plaideur n’a droit qu’à une seule tentative. [. . .] Les instances faisant double emploi, les risques de résultats contradictoires, les frais excessifs et les procédures non décisives doivent être évités » (par. 18).  Il a indiqué que les parties devaient pouvoir être assurées du caractère définitif des décisions administratives, en particulier, parce que ces régimes visent à faciliter le règlement rapide des différends (par. 50).  Tout cela repose sur le principe que « la </w:t>
      </w:r>
      <w:proofErr w:type="spellStart"/>
      <w:r w:rsidRPr="00F60059">
        <w:rPr>
          <w:lang w:val="fr-CA"/>
        </w:rPr>
        <w:t>préclusion</w:t>
      </w:r>
      <w:proofErr w:type="spellEnd"/>
      <w:r w:rsidRPr="00F60059">
        <w:rPr>
          <w:lang w:val="fr-CA"/>
        </w:rPr>
        <w:t xml:space="preserve"> est une doctrine d’intérêt public qui tend à favoriser les intérêts de la justice » (par. 19).  </w:t>
      </w:r>
    </w:p>
    <w:p w:rsidR="00E208A8" w:rsidRPr="00F60059" w:rsidRDefault="00E208A8" w:rsidP="00E208A8">
      <w:pPr>
        <w:pStyle w:val="ParaNoNdepar-AltN"/>
        <w:rPr>
          <w:lang w:val="fr-CA"/>
        </w:rPr>
      </w:pPr>
      <w:r w:rsidRPr="00F60059">
        <w:rPr>
          <w:lang w:val="fr-CA"/>
        </w:rPr>
        <w:lastRenderedPageBreak/>
        <w:t xml:space="preserve">La règle interdisant la contestation indirecte vise elle aussi la protection de l’équité et de l’intégrité du système judiciaire en empêchant la répétition des instances. Elle empêche les détours institutionnels ayant pour but d’attaquer la validité d’une ordonnance en tentant d’obtenir un résultat différent devant un forum différent plutôt qu’en suivant la procédure d’appel ou de contrôle judiciaire prescrite : voir </w:t>
      </w:r>
      <w:r w:rsidRPr="00F60059">
        <w:rPr>
          <w:i/>
          <w:iCs/>
          <w:lang w:val="fr-CA"/>
        </w:rPr>
        <w:t xml:space="preserve">Canada (Procureur général) c. </w:t>
      </w:r>
      <w:proofErr w:type="spellStart"/>
      <w:r w:rsidRPr="00F60059">
        <w:rPr>
          <w:i/>
          <w:iCs/>
          <w:lang w:val="fr-CA"/>
        </w:rPr>
        <w:t>TeleZone</w:t>
      </w:r>
      <w:proofErr w:type="spellEnd"/>
      <w:r w:rsidRPr="00F60059">
        <w:rPr>
          <w:i/>
          <w:iCs/>
          <w:lang w:val="fr-CA"/>
        </w:rPr>
        <w:t xml:space="preserve"> Inc</w:t>
      </w:r>
      <w:r w:rsidRPr="00F60059">
        <w:rPr>
          <w:lang w:val="fr-CA"/>
        </w:rPr>
        <w:t>., 2010 CSC 62, [2010] 3 R.C.S. 585</w:t>
      </w:r>
      <w:r w:rsidR="001973F3" w:rsidRPr="00F60059">
        <w:rPr>
          <w:lang w:val="fr-CA"/>
        </w:rPr>
        <w:t>,</w:t>
      </w:r>
      <w:r w:rsidRPr="00F60059">
        <w:rPr>
          <w:lang w:val="fr-CA"/>
        </w:rPr>
        <w:t xml:space="preserve"> et </w:t>
      </w:r>
      <w:r w:rsidRPr="00F60059">
        <w:rPr>
          <w:i/>
          <w:iCs/>
          <w:lang w:val="fr-CA"/>
        </w:rPr>
        <w:t xml:space="preserve">Garland c. </w:t>
      </w:r>
      <w:proofErr w:type="spellStart"/>
      <w:r w:rsidRPr="00F60059">
        <w:rPr>
          <w:i/>
          <w:iCs/>
          <w:lang w:val="fr-CA"/>
        </w:rPr>
        <w:t>Consumers</w:t>
      </w:r>
      <w:proofErr w:type="spellEnd"/>
      <w:r w:rsidRPr="00F60059">
        <w:rPr>
          <w:i/>
          <w:iCs/>
          <w:lang w:val="fr-CA"/>
        </w:rPr>
        <w:t xml:space="preserve">’ </w:t>
      </w:r>
      <w:proofErr w:type="spellStart"/>
      <w:r w:rsidRPr="00F60059">
        <w:rPr>
          <w:i/>
          <w:iCs/>
          <w:lang w:val="fr-CA"/>
        </w:rPr>
        <w:t>Gas</w:t>
      </w:r>
      <w:proofErr w:type="spellEnd"/>
      <w:r w:rsidRPr="00F60059">
        <w:rPr>
          <w:i/>
          <w:iCs/>
          <w:lang w:val="fr-CA"/>
        </w:rPr>
        <w:t xml:space="preserve"> Co</w:t>
      </w:r>
      <w:r w:rsidRPr="00F60059">
        <w:rPr>
          <w:lang w:val="fr-CA"/>
        </w:rPr>
        <w:t xml:space="preserve">., 2004 CSC 25, [2004] 1 R.C.S. 629.  </w:t>
      </w:r>
    </w:p>
    <w:p w:rsidR="00E208A8" w:rsidRPr="00F60059" w:rsidRDefault="00E208A8" w:rsidP="00E208A8">
      <w:pPr>
        <w:pStyle w:val="ParaNoNdepar-AltN"/>
        <w:rPr>
          <w:lang w:val="fr-CA"/>
        </w:rPr>
      </w:pPr>
      <w:r w:rsidRPr="00F60059">
        <w:rPr>
          <w:lang w:val="fr-CA"/>
        </w:rPr>
        <w:t xml:space="preserve">Dans </w:t>
      </w:r>
      <w:r w:rsidRPr="00F60059">
        <w:rPr>
          <w:i/>
          <w:iCs/>
          <w:lang w:val="fr-CA"/>
        </w:rPr>
        <w:t>Boucher</w:t>
      </w:r>
      <w:r w:rsidRPr="00F60059">
        <w:rPr>
          <w:lang w:val="fr-CA"/>
        </w:rPr>
        <w:t xml:space="preserve">, notre Cour a examiné tant la contestation indirecte que le principe de l’autorité de la chose jugée.  Le surintendant des régimes de retraite de l’Ontario avait ordonné une liquidation partielle et approuvé un rapport de liquidation prévoyant que, conformément au droit québécois, les participants employés au Québec ne toucheraient pas de pension anticipée.  Les employés ont été prévenus, mais ont décidé de ne pas contester la décision du surintendant d’approuver le rapport.  Certains d’entre eux ont plutôt revendiqué leur droit à une pension anticipée dans une action contre leur employeur intentée en Cour supérieure du Québec.  Le juge </w:t>
      </w:r>
      <w:proofErr w:type="spellStart"/>
      <w:r w:rsidRPr="00F60059">
        <w:rPr>
          <w:lang w:val="fr-CA"/>
        </w:rPr>
        <w:t>LeBel</w:t>
      </w:r>
      <w:proofErr w:type="spellEnd"/>
      <w:r w:rsidRPr="00F60059">
        <w:rPr>
          <w:lang w:val="fr-CA"/>
        </w:rPr>
        <w:t xml:space="preserve"> a rejeté leur prétention, indiquant que le droit administratif établit des mécanismes de révision visant à réduire les possibilités d’erreur ou d’injustice et que ce sont là les mécanismes auxquels les parties doivent avoir recours.  La décision d’intenter une action plutôt que de recourir au contrôle judiciaire constituait « </w:t>
      </w:r>
      <w:r w:rsidR="001973F3" w:rsidRPr="00F60059">
        <w:rPr>
          <w:lang w:val="fr-CA"/>
        </w:rPr>
        <w:t xml:space="preserve">la </w:t>
      </w:r>
      <w:r w:rsidRPr="00F60059">
        <w:rPr>
          <w:lang w:val="fr-CA"/>
        </w:rPr>
        <w:t xml:space="preserve">contestation indirecte inadmissible de la décision du surintendant » :  </w:t>
      </w:r>
    </w:p>
    <w:p w:rsidR="00E208A8" w:rsidRPr="00F60059" w:rsidRDefault="00E208A8" w:rsidP="00E208A8">
      <w:pPr>
        <w:pStyle w:val="Citation-AltC"/>
        <w:ind w:hanging="1166"/>
        <w:rPr>
          <w:lang w:val="fr-CA"/>
        </w:rPr>
      </w:pPr>
      <w:r w:rsidRPr="00F60059">
        <w:rPr>
          <w:lang w:val="fr-CA"/>
        </w:rPr>
        <w:lastRenderedPageBreak/>
        <w:tab/>
        <w:t xml:space="preserve">Le droit judiciaire et le droit administratif modernes ont graduellement établi des mécanismes d’appel divers, voire des procédures élaborées de contrôle judiciaire, pour réduire les possibilités d’erreur ou d’injustice.  Encore </w:t>
      </w:r>
      <w:proofErr w:type="spellStart"/>
      <w:r w:rsidRPr="00F60059">
        <w:rPr>
          <w:lang w:val="fr-CA"/>
        </w:rPr>
        <w:t>faut</w:t>
      </w:r>
      <w:r w:rsidRPr="00F60059">
        <w:rPr>
          <w:lang w:val="fr-CA"/>
        </w:rPr>
        <w:noBreakHyphen/>
        <w:t>il</w:t>
      </w:r>
      <w:proofErr w:type="spellEnd"/>
      <w:r w:rsidRPr="00F60059">
        <w:rPr>
          <w:lang w:val="fr-CA"/>
        </w:rPr>
        <w:t xml:space="preserve"> que les parties sachent les utiliser à bon escient et en temps opportun.  À défaut, la jurisprudence ne permettra pas, en règle générale, la contestation indirecte d’une décision devenue finale</w:t>
      </w:r>
      <w:r w:rsidR="0003160C">
        <w:rPr>
          <w:lang w:val="fr-CA"/>
        </w:rPr>
        <w:t xml:space="preserve"> </w:t>
      </w:r>
      <w:r w:rsidRPr="00F60059">
        <w:rPr>
          <w:lang w:val="fr-CA"/>
        </w:rPr>
        <w:t xml:space="preserve">. </w:t>
      </w:r>
      <w:r w:rsidR="0003160C">
        <w:rPr>
          <w:lang w:val="fr-CA"/>
        </w:rPr>
        <w:t>. .</w:t>
      </w:r>
      <w:r w:rsidRPr="00F60059">
        <w:rPr>
          <w:lang w:val="fr-CA"/>
        </w:rPr>
        <w:t xml:space="preserve"> [par. 35]</w:t>
      </w:r>
    </w:p>
    <w:p w:rsidR="00E208A8" w:rsidRPr="00F60059" w:rsidRDefault="00E208A8" w:rsidP="00E208A8">
      <w:pPr>
        <w:pStyle w:val="ParaNoNdepar-AltN"/>
        <w:rPr>
          <w:lang w:val="fr-CA"/>
        </w:rPr>
      </w:pPr>
      <w:r w:rsidRPr="00F60059">
        <w:rPr>
          <w:lang w:val="fr-CA"/>
        </w:rPr>
        <w:t xml:space="preserve">Autrement dit, ce n’est pas la contestation du </w:t>
      </w:r>
      <w:proofErr w:type="spellStart"/>
      <w:r w:rsidRPr="00F60059">
        <w:rPr>
          <w:lang w:val="fr-CA"/>
        </w:rPr>
        <w:t>bien</w:t>
      </w:r>
      <w:r w:rsidRPr="00F60059">
        <w:rPr>
          <w:lang w:val="fr-CA"/>
        </w:rPr>
        <w:noBreakHyphen/>
        <w:t>fondé</w:t>
      </w:r>
      <w:proofErr w:type="spellEnd"/>
      <w:r w:rsidRPr="00F60059">
        <w:rPr>
          <w:lang w:val="fr-CA"/>
        </w:rPr>
        <w:t xml:space="preserve"> ou de l’équité d’une décision judiciaire ou administrative devant les forums compétents qui est préjudiciable au système judiciaire, c’est le fait d’éluder ces mécanismes de révision (</w:t>
      </w:r>
      <w:r w:rsidRPr="00F60059">
        <w:rPr>
          <w:i/>
          <w:iCs/>
          <w:lang w:val="fr-CA"/>
        </w:rPr>
        <w:t>Toronto (Ville) c. S.C.F.P., section locale 79</w:t>
      </w:r>
      <w:r w:rsidRPr="00F60059">
        <w:rPr>
          <w:iCs/>
          <w:lang w:val="fr-CA"/>
        </w:rPr>
        <w:t>,</w:t>
      </w:r>
      <w:r w:rsidRPr="00F60059">
        <w:rPr>
          <w:lang w:val="fr-CA"/>
        </w:rPr>
        <w:t xml:space="preserve"> 2003 CSC 63, [2003] 3 R.C.S. 77, par. 46).</w:t>
      </w:r>
    </w:p>
    <w:p w:rsidR="00E208A8" w:rsidRPr="00F60059" w:rsidRDefault="00E208A8" w:rsidP="00E208A8">
      <w:pPr>
        <w:pStyle w:val="ParaNoNdepar-AltN"/>
        <w:rPr>
          <w:lang w:val="fr-CA"/>
        </w:rPr>
      </w:pPr>
      <w:r w:rsidRPr="00F60059">
        <w:rPr>
          <w:lang w:val="fr-CA"/>
        </w:rPr>
        <w:t xml:space="preserve">La dernière règle est celle qui régit l’abus de procédure. Elle vise aussi à protéger l’équité et l’intégrité de l’administration de la justice en empêchant le dédoublement inutile d’instances, comme l’a expliqué la juge </w:t>
      </w:r>
      <w:proofErr w:type="spellStart"/>
      <w:r w:rsidRPr="00F60059">
        <w:rPr>
          <w:lang w:val="fr-CA"/>
        </w:rPr>
        <w:t>Arbour</w:t>
      </w:r>
      <w:proofErr w:type="spellEnd"/>
      <w:r w:rsidRPr="00F60059">
        <w:rPr>
          <w:lang w:val="fr-CA"/>
        </w:rPr>
        <w:t xml:space="preserve"> dans </w:t>
      </w:r>
      <w:r w:rsidRPr="00F60059">
        <w:rPr>
          <w:i/>
          <w:iCs/>
          <w:lang w:val="fr-CA"/>
        </w:rPr>
        <w:t>Toronto (Ville)</w:t>
      </w:r>
      <w:r w:rsidRPr="00F60059">
        <w:rPr>
          <w:lang w:val="fr-CA"/>
        </w:rPr>
        <w:t xml:space="preserve">.  Dans cette affaire, la municipalité avait congédié un instructeur en loisirs qui avait été déclaré coupable d’agression sexuelle sur la personne d’un jeune garçon confié à sa surveillance.  Un grief contestant le congédiement avait été déposé, et l’arbitre qui en avait été saisi, après avoir indiqué que la déclaration de culpabilité était recevable en preuve, mais qu’elle ne le liait pas, avait jugé que l’instructeur avait été congédié sans motif valable.  </w:t>
      </w:r>
    </w:p>
    <w:p w:rsidR="00E208A8" w:rsidRPr="00F60059" w:rsidRDefault="00E208A8" w:rsidP="00E208A8">
      <w:pPr>
        <w:pStyle w:val="ParaNoNdepar-AltN"/>
        <w:rPr>
          <w:lang w:val="fr-CA"/>
        </w:rPr>
      </w:pPr>
      <w:r w:rsidRPr="00F60059">
        <w:rPr>
          <w:lang w:val="fr-CA"/>
        </w:rPr>
        <w:t xml:space="preserve">La juge </w:t>
      </w:r>
      <w:proofErr w:type="spellStart"/>
      <w:r w:rsidRPr="00F60059">
        <w:rPr>
          <w:lang w:val="fr-CA"/>
        </w:rPr>
        <w:t>Arbour</w:t>
      </w:r>
      <w:proofErr w:type="spellEnd"/>
      <w:r w:rsidRPr="00F60059">
        <w:rPr>
          <w:lang w:val="fr-CA"/>
        </w:rPr>
        <w:t xml:space="preserve"> a conclu que l’arbitre avait eu tort de ne pas donner plein effet à la déclaration de culpabilité même si, strictement parlant, les doctrines de l’autorité de la chose jugée ou de l’interdiction de la contestation indirecte ne </w:t>
      </w:r>
      <w:r w:rsidRPr="00F60059">
        <w:rPr>
          <w:lang w:val="fr-CA"/>
        </w:rPr>
        <w:lastRenderedPageBreak/>
        <w:t xml:space="preserve">s’appliquaient pas.  Parce que la décision de l’arbitre avait pour effet de remettre en cause la déclaration de culpabilité pour agression sexuelle, l’instance constituait un « abus flagrant de procédure » (par. 56). </w:t>
      </w:r>
    </w:p>
    <w:p w:rsidR="00E208A8" w:rsidRPr="00F60059" w:rsidRDefault="00E208A8" w:rsidP="00E208A8">
      <w:pPr>
        <w:pStyle w:val="ParaNoNdepar-AltN"/>
        <w:rPr>
          <w:lang w:val="fr-CA"/>
        </w:rPr>
      </w:pPr>
      <w:r w:rsidRPr="00F60059">
        <w:rPr>
          <w:lang w:val="fr-CA"/>
        </w:rPr>
        <w:t xml:space="preserve">La juge </w:t>
      </w:r>
      <w:proofErr w:type="spellStart"/>
      <w:r w:rsidRPr="00F60059">
        <w:rPr>
          <w:lang w:val="fr-CA"/>
        </w:rPr>
        <w:t>Arbour</w:t>
      </w:r>
      <w:proofErr w:type="spellEnd"/>
      <w:r w:rsidRPr="00F60059">
        <w:rPr>
          <w:lang w:val="fr-CA"/>
        </w:rPr>
        <w:t xml:space="preserve"> a conclu que la doctrine de l’abus de procédure peut entrer en jeu, même lorsque les exigences du principe de l’autorité de la chose jugée ne sont pas strictement remplies, lorsqu’il y aurait violation de principes comme ceux « d’économie, de cohérence, de caractère définitif des instances et d’intégrité de l’administration de la justice » si l’instance était autorisée à aller de l’avant (par. 37).  La juge a insisté sur l’importance d’éviter les contradictions et le gaspillage de ressources judiciaires et privées :</w:t>
      </w:r>
    </w:p>
    <w:p w:rsidR="00E208A8" w:rsidRPr="00F60059" w:rsidRDefault="00E208A8" w:rsidP="00E208A8">
      <w:pPr>
        <w:pStyle w:val="Citation-AltC"/>
        <w:spacing w:after="240"/>
        <w:ind w:hanging="1166"/>
        <w:rPr>
          <w:lang w:val="fr-CA"/>
        </w:rPr>
      </w:pPr>
      <w:r w:rsidRPr="00F60059">
        <w:rPr>
          <w:lang w:val="fr-CA"/>
        </w:rPr>
        <w:tab/>
        <w:t>[Même] si l’instance subséquente donne lieu à une conclusion similaire, la remise en cause aura été un gaspillage de ressources judiciaires et une source de dépenses inutiles pour les parties sans compter les difficultés supplémentaires qu’elle aura pu occasionner à certains témoins.  Troisièmement, si le résultat de la seconde instance diffère de la conclusion formulée à l’égard de la même question dans la première, l’incohérence, en soi, ébranlera la crédibilité de tout le processus judiciaire et en affaiblira ainsi l’autorité, la crédibilité et la vocati</w:t>
      </w:r>
      <w:r w:rsidR="001973F3" w:rsidRPr="00F60059">
        <w:rPr>
          <w:lang w:val="fr-CA"/>
        </w:rPr>
        <w:t>on à l’irrévocabilité. [</w:t>
      </w:r>
      <w:proofErr w:type="gramStart"/>
      <w:r w:rsidR="001973F3" w:rsidRPr="00F60059">
        <w:rPr>
          <w:lang w:val="fr-CA"/>
        </w:rPr>
        <w:t>par</w:t>
      </w:r>
      <w:proofErr w:type="gramEnd"/>
      <w:r w:rsidR="001973F3" w:rsidRPr="00F60059">
        <w:rPr>
          <w:lang w:val="fr-CA"/>
        </w:rPr>
        <w:t>. 51]</w:t>
      </w:r>
    </w:p>
    <w:p w:rsidR="00E208A8" w:rsidRPr="00F60059" w:rsidRDefault="00E208A8" w:rsidP="00E208A8">
      <w:pPr>
        <w:pStyle w:val="Citation-AltC"/>
        <w:ind w:hanging="1166"/>
        <w:rPr>
          <w:lang w:val="fr-CA"/>
        </w:rPr>
      </w:pPr>
      <w:r w:rsidRPr="00F60059">
        <w:rPr>
          <w:lang w:val="fr-CA"/>
        </w:rPr>
        <w:tab/>
        <w:t>(Voir aussi</w:t>
      </w:r>
      <w:r w:rsidRPr="00F60059">
        <w:rPr>
          <w:i/>
          <w:iCs/>
          <w:lang w:val="fr-CA"/>
        </w:rPr>
        <w:t xml:space="preserve"> R. c. </w:t>
      </w:r>
      <w:proofErr w:type="spellStart"/>
      <w:r w:rsidRPr="00F60059">
        <w:rPr>
          <w:i/>
          <w:iCs/>
          <w:lang w:val="fr-CA"/>
        </w:rPr>
        <w:t>Mahalingan</w:t>
      </w:r>
      <w:proofErr w:type="spellEnd"/>
      <w:r w:rsidRPr="00F60059">
        <w:rPr>
          <w:lang w:val="fr-CA"/>
        </w:rPr>
        <w:t>, 2008 CSC 63, [2008] 3 R.C.S. 316, par. 106, la juge Charron</w:t>
      </w:r>
      <w:r w:rsidR="001973F3" w:rsidRPr="00F60059">
        <w:rPr>
          <w:lang w:val="fr-CA"/>
        </w:rPr>
        <w:t>.</w:t>
      </w:r>
      <w:r w:rsidRPr="00F60059">
        <w:rPr>
          <w:lang w:val="fr-CA"/>
        </w:rPr>
        <w:t>)</w:t>
      </w:r>
    </w:p>
    <w:p w:rsidR="00E208A8" w:rsidRPr="00F60059" w:rsidRDefault="00E208A8" w:rsidP="00E208A8">
      <w:pPr>
        <w:pStyle w:val="ParaNoNdepar-AltN"/>
        <w:rPr>
          <w:lang w:val="fr-CA"/>
        </w:rPr>
      </w:pPr>
      <w:r w:rsidRPr="00F60059">
        <w:rPr>
          <w:lang w:val="fr-CA"/>
        </w:rPr>
        <w:t>Ces doctrines existent essentiellement pour prévenir l’</w:t>
      </w:r>
      <w:proofErr w:type="spellStart"/>
      <w:r w:rsidRPr="00F60059">
        <w:rPr>
          <w:lang w:val="fr-CA"/>
        </w:rPr>
        <w:t>inéquité</w:t>
      </w:r>
      <w:proofErr w:type="spellEnd"/>
      <w:r w:rsidRPr="00F60059">
        <w:rPr>
          <w:lang w:val="fr-CA"/>
        </w:rPr>
        <w:t xml:space="preserve"> en empêchant « les recours abusifs » (</w:t>
      </w:r>
      <w:proofErr w:type="spellStart"/>
      <w:r w:rsidRPr="00F60059">
        <w:rPr>
          <w:i/>
          <w:iCs/>
          <w:lang w:val="fr-CA"/>
        </w:rPr>
        <w:t>Danyluk</w:t>
      </w:r>
      <w:proofErr w:type="spellEnd"/>
      <w:r w:rsidRPr="00F60059">
        <w:rPr>
          <w:lang w:val="fr-CA"/>
        </w:rPr>
        <w:t xml:space="preserve">, par. 20; voir aussi </w:t>
      </w:r>
      <w:r w:rsidRPr="00F60059">
        <w:rPr>
          <w:i/>
          <w:iCs/>
          <w:lang w:val="fr-CA"/>
        </w:rPr>
        <w:t>Garland</w:t>
      </w:r>
      <w:r w:rsidRPr="00F60059">
        <w:rPr>
          <w:lang w:val="fr-CA"/>
        </w:rPr>
        <w:t>, par. 72</w:t>
      </w:r>
      <w:r w:rsidR="001973F3" w:rsidRPr="00F60059">
        <w:rPr>
          <w:lang w:val="fr-CA"/>
        </w:rPr>
        <w:t>,</w:t>
      </w:r>
      <w:r w:rsidRPr="00F60059">
        <w:rPr>
          <w:lang w:val="fr-CA"/>
        </w:rPr>
        <w:t xml:space="preserve"> et </w:t>
      </w:r>
      <w:r w:rsidRPr="00F60059">
        <w:rPr>
          <w:i/>
          <w:iCs/>
          <w:lang w:val="fr-CA"/>
        </w:rPr>
        <w:t>Toronto (Ville)</w:t>
      </w:r>
      <w:r w:rsidRPr="00F60059">
        <w:rPr>
          <w:lang w:val="fr-CA"/>
        </w:rPr>
        <w:t xml:space="preserve">, par. 37).  On peut résumer ainsi leurs principes </w:t>
      </w:r>
      <w:proofErr w:type="spellStart"/>
      <w:r w:rsidRPr="00F60059">
        <w:rPr>
          <w:lang w:val="fr-CA"/>
        </w:rPr>
        <w:t>sous</w:t>
      </w:r>
      <w:r w:rsidRPr="00F60059">
        <w:rPr>
          <w:lang w:val="fr-CA"/>
        </w:rPr>
        <w:noBreakHyphen/>
        <w:t>jacents</w:t>
      </w:r>
      <w:proofErr w:type="spellEnd"/>
      <w:r w:rsidRPr="00F60059">
        <w:rPr>
          <w:lang w:val="fr-CA"/>
        </w:rPr>
        <w:t xml:space="preserve"> communs :</w:t>
      </w:r>
    </w:p>
    <w:p w:rsidR="00E208A8" w:rsidRPr="00F60059" w:rsidRDefault="00B8202E" w:rsidP="00610357">
      <w:pPr>
        <w:pStyle w:val="Citation-AltC"/>
        <w:tabs>
          <w:tab w:val="left" w:pos="900"/>
        </w:tabs>
        <w:spacing w:after="480" w:line="480" w:lineRule="auto"/>
        <w:ind w:left="900" w:hanging="900"/>
        <w:rPr>
          <w:lang w:val="fr-CA"/>
        </w:rPr>
      </w:pPr>
      <w:r w:rsidRPr="00F60059">
        <w:rPr>
          <w:lang w:val="fr-CA"/>
        </w:rPr>
        <w:lastRenderedPageBreak/>
        <w:t>•</w:t>
      </w:r>
      <w:r w:rsidR="00610357" w:rsidRPr="00F60059">
        <w:rPr>
          <w:lang w:val="fr-CA"/>
        </w:rPr>
        <w:tab/>
      </w:r>
      <w:r w:rsidR="001973F3" w:rsidRPr="00F60059">
        <w:rPr>
          <w:lang w:val="fr-CA"/>
        </w:rPr>
        <w:t>L</w:t>
      </w:r>
      <w:r w:rsidR="00E208A8" w:rsidRPr="00F60059">
        <w:rPr>
          <w:lang w:val="fr-CA"/>
        </w:rPr>
        <w:t>a capacité de se fier au caractère définitif d’une décision sert l’intérêt public et celui des parties (</w:t>
      </w:r>
      <w:proofErr w:type="spellStart"/>
      <w:r w:rsidR="00E208A8" w:rsidRPr="00F60059">
        <w:rPr>
          <w:i/>
          <w:iCs/>
          <w:lang w:val="fr-CA"/>
        </w:rPr>
        <w:t>Danyluk</w:t>
      </w:r>
      <w:proofErr w:type="spellEnd"/>
      <w:r w:rsidR="00E208A8" w:rsidRPr="00F60059">
        <w:rPr>
          <w:lang w:val="fr-CA"/>
        </w:rPr>
        <w:t xml:space="preserve">, par. 18; </w:t>
      </w:r>
      <w:r w:rsidR="00E208A8" w:rsidRPr="00F60059">
        <w:rPr>
          <w:i/>
          <w:iCs/>
          <w:lang w:val="fr-CA"/>
        </w:rPr>
        <w:t>Boucher</w:t>
      </w:r>
      <w:r w:rsidR="00E208A8" w:rsidRPr="00F60059">
        <w:rPr>
          <w:lang w:val="fr-CA"/>
        </w:rPr>
        <w:t>, par. 35).</w:t>
      </w:r>
    </w:p>
    <w:p w:rsidR="00E208A8" w:rsidRPr="00F60059" w:rsidRDefault="00B8202E" w:rsidP="00B8202E">
      <w:pPr>
        <w:pStyle w:val="Citation-AltC"/>
        <w:tabs>
          <w:tab w:val="left" w:pos="900"/>
        </w:tabs>
        <w:spacing w:after="480" w:line="480" w:lineRule="auto"/>
        <w:ind w:left="900" w:hanging="900"/>
        <w:rPr>
          <w:lang w:val="fr-CA"/>
        </w:rPr>
      </w:pPr>
      <w:r w:rsidRPr="00F60059">
        <w:rPr>
          <w:lang w:val="fr-CA"/>
        </w:rPr>
        <w:t>•</w:t>
      </w:r>
      <w:r w:rsidRPr="00F60059">
        <w:rPr>
          <w:lang w:val="fr-CA"/>
        </w:rPr>
        <w:tab/>
      </w:r>
      <w:r w:rsidR="00E208A8" w:rsidRPr="00F60059">
        <w:rPr>
          <w:lang w:val="fr-CA"/>
        </w:rPr>
        <w:t xml:space="preserve">Le respect du </w:t>
      </w:r>
      <w:r w:rsidR="00E208A8" w:rsidRPr="00F60059">
        <w:rPr>
          <w:szCs w:val="20"/>
          <w:lang w:val="fr-CA"/>
        </w:rPr>
        <w:t>caractère</w:t>
      </w:r>
      <w:r w:rsidR="00E208A8" w:rsidRPr="00F60059">
        <w:rPr>
          <w:lang w:val="fr-CA"/>
        </w:rPr>
        <w:t xml:space="preserve"> définitif d’une décision judiciaire ou administrative renforce l’équité et l’intégrité des tribunaux judiciaires et administratifs ainsi que de l’administration de la justice; à l’opposé, la remise en cause de questions déjà tranchées par un forum compétent peut miner la confiance envers l’équité et l’intégrité du système en créant de l’incohérence et en suscitant des recours faisant inutilement double emploi (</w:t>
      </w:r>
      <w:r w:rsidR="00E208A8" w:rsidRPr="00F60059">
        <w:rPr>
          <w:i/>
          <w:iCs/>
          <w:lang w:val="fr-CA"/>
        </w:rPr>
        <w:t>Toronto (Ville)</w:t>
      </w:r>
      <w:r w:rsidR="00E208A8" w:rsidRPr="00F60059">
        <w:rPr>
          <w:lang w:val="fr-CA"/>
        </w:rPr>
        <w:t>, par. 38 et 51).</w:t>
      </w:r>
    </w:p>
    <w:p w:rsidR="00E208A8" w:rsidRPr="00F60059" w:rsidRDefault="00B8202E" w:rsidP="00B8202E">
      <w:pPr>
        <w:pStyle w:val="Citation-AltC"/>
        <w:tabs>
          <w:tab w:val="left" w:pos="900"/>
        </w:tabs>
        <w:spacing w:after="480" w:line="480" w:lineRule="auto"/>
        <w:ind w:left="900" w:hanging="900"/>
        <w:rPr>
          <w:szCs w:val="20"/>
          <w:lang w:val="fr-CA"/>
        </w:rPr>
      </w:pPr>
      <w:r w:rsidRPr="00F60059">
        <w:rPr>
          <w:lang w:val="fr-CA"/>
        </w:rPr>
        <w:t>•</w:t>
      </w:r>
      <w:r w:rsidRPr="00F60059">
        <w:rPr>
          <w:lang w:val="fr-CA"/>
        </w:rPr>
        <w:tab/>
      </w:r>
      <w:r w:rsidR="00E208A8" w:rsidRPr="00F60059">
        <w:rPr>
          <w:lang w:val="fr-CA"/>
        </w:rPr>
        <w:t xml:space="preserve">La </w:t>
      </w:r>
      <w:r w:rsidR="00E208A8" w:rsidRPr="00F60059">
        <w:rPr>
          <w:szCs w:val="20"/>
          <w:lang w:val="fr-CA"/>
        </w:rPr>
        <w:t>contestation</w:t>
      </w:r>
      <w:r w:rsidR="00E208A8" w:rsidRPr="00F60059">
        <w:rPr>
          <w:lang w:val="fr-CA"/>
        </w:rPr>
        <w:t xml:space="preserve"> de la validité ou du </w:t>
      </w:r>
      <w:proofErr w:type="spellStart"/>
      <w:r w:rsidR="00E208A8" w:rsidRPr="00F60059">
        <w:rPr>
          <w:lang w:val="fr-CA"/>
        </w:rPr>
        <w:t>bien</w:t>
      </w:r>
      <w:r w:rsidR="00E208A8" w:rsidRPr="00F60059">
        <w:rPr>
          <w:lang w:val="fr-CA"/>
        </w:rPr>
        <w:noBreakHyphen/>
        <w:t>fondé</w:t>
      </w:r>
      <w:proofErr w:type="spellEnd"/>
      <w:r w:rsidR="00E208A8" w:rsidRPr="00F60059">
        <w:rPr>
          <w:lang w:val="fr-CA"/>
        </w:rPr>
        <w:t xml:space="preserve"> d’une décision judiciaire ou administrative se fait au moyen de la procédure d’appel ou de contrôle </w:t>
      </w:r>
      <w:r w:rsidR="00E208A8" w:rsidRPr="00F60059">
        <w:rPr>
          <w:szCs w:val="20"/>
          <w:lang w:val="fr-CA"/>
        </w:rPr>
        <w:t>judiciaire prévue par le législateur (</w:t>
      </w:r>
      <w:r w:rsidR="00E208A8" w:rsidRPr="009923C9">
        <w:rPr>
          <w:i/>
          <w:szCs w:val="20"/>
          <w:lang w:val="fr-CA"/>
        </w:rPr>
        <w:t>Boucher</w:t>
      </w:r>
      <w:r w:rsidR="00E208A8" w:rsidRPr="00F60059">
        <w:rPr>
          <w:szCs w:val="20"/>
          <w:lang w:val="fr-CA"/>
        </w:rPr>
        <w:t xml:space="preserve">, par. 35; </w:t>
      </w:r>
      <w:proofErr w:type="spellStart"/>
      <w:r w:rsidR="00E208A8" w:rsidRPr="009923C9">
        <w:rPr>
          <w:i/>
          <w:szCs w:val="20"/>
          <w:lang w:val="fr-CA"/>
        </w:rPr>
        <w:t>Danyluk</w:t>
      </w:r>
      <w:proofErr w:type="spellEnd"/>
      <w:r w:rsidR="00E208A8" w:rsidRPr="00F60059">
        <w:rPr>
          <w:szCs w:val="20"/>
          <w:lang w:val="fr-CA"/>
        </w:rPr>
        <w:t>, par. 74).</w:t>
      </w:r>
    </w:p>
    <w:p w:rsidR="00E208A8" w:rsidRPr="00F60059" w:rsidRDefault="00B8202E" w:rsidP="00B8202E">
      <w:pPr>
        <w:pStyle w:val="Citation-AltC"/>
        <w:tabs>
          <w:tab w:val="left" w:pos="900"/>
        </w:tabs>
        <w:spacing w:after="480" w:line="480" w:lineRule="auto"/>
        <w:ind w:left="900" w:hanging="900"/>
        <w:rPr>
          <w:lang w:val="fr-CA"/>
        </w:rPr>
      </w:pPr>
      <w:r w:rsidRPr="00F60059">
        <w:rPr>
          <w:lang w:val="fr-CA"/>
        </w:rPr>
        <w:t>•</w:t>
      </w:r>
      <w:r w:rsidRPr="00F60059">
        <w:rPr>
          <w:lang w:val="fr-CA"/>
        </w:rPr>
        <w:tab/>
      </w:r>
      <w:r w:rsidR="00E208A8" w:rsidRPr="00F60059">
        <w:rPr>
          <w:lang w:val="fr-CA"/>
        </w:rPr>
        <w:t xml:space="preserve">Les parties ne doivent pas éluder le mécanisme de révision prévu en </w:t>
      </w:r>
      <w:r w:rsidR="00E208A8" w:rsidRPr="00F60059">
        <w:rPr>
          <w:szCs w:val="20"/>
          <w:lang w:val="fr-CA"/>
        </w:rPr>
        <w:t>s’adressant</w:t>
      </w:r>
      <w:r w:rsidR="00E208A8" w:rsidRPr="00F60059">
        <w:rPr>
          <w:lang w:val="fr-CA"/>
        </w:rPr>
        <w:t xml:space="preserve"> à un autre forum pour contester une décision judiciaire ou administrative (</w:t>
      </w:r>
      <w:proofErr w:type="spellStart"/>
      <w:r w:rsidR="00E208A8" w:rsidRPr="00F60059">
        <w:rPr>
          <w:i/>
          <w:iCs/>
          <w:lang w:val="fr-CA"/>
        </w:rPr>
        <w:t>TeleZone</w:t>
      </w:r>
      <w:proofErr w:type="spellEnd"/>
      <w:r w:rsidR="00E208A8" w:rsidRPr="00F60059">
        <w:rPr>
          <w:lang w:val="fr-CA"/>
        </w:rPr>
        <w:t xml:space="preserve">, par. 61; </w:t>
      </w:r>
      <w:r w:rsidR="00E208A8" w:rsidRPr="00F60059">
        <w:rPr>
          <w:i/>
          <w:iCs/>
          <w:lang w:val="fr-CA"/>
        </w:rPr>
        <w:t>Boucher</w:t>
      </w:r>
      <w:r w:rsidR="00E208A8" w:rsidRPr="00F60059">
        <w:rPr>
          <w:lang w:val="fr-CA"/>
        </w:rPr>
        <w:t xml:space="preserve">, par. 35; </w:t>
      </w:r>
      <w:r w:rsidR="00E208A8" w:rsidRPr="00F60059">
        <w:rPr>
          <w:i/>
          <w:iCs/>
          <w:lang w:val="fr-CA"/>
        </w:rPr>
        <w:t>Garland</w:t>
      </w:r>
      <w:r w:rsidR="00E208A8" w:rsidRPr="00F60059">
        <w:rPr>
          <w:lang w:val="fr-CA"/>
        </w:rPr>
        <w:t xml:space="preserve">, par. 72). </w:t>
      </w:r>
    </w:p>
    <w:p w:rsidR="00E208A8" w:rsidRPr="00F60059" w:rsidRDefault="00B8202E" w:rsidP="00B8202E">
      <w:pPr>
        <w:pStyle w:val="Citation-AltC"/>
        <w:tabs>
          <w:tab w:val="left" w:pos="900"/>
        </w:tabs>
        <w:spacing w:after="480" w:line="480" w:lineRule="auto"/>
        <w:ind w:left="900" w:hanging="900"/>
        <w:rPr>
          <w:lang w:val="fr-CA"/>
        </w:rPr>
      </w:pPr>
      <w:r w:rsidRPr="00F60059">
        <w:rPr>
          <w:lang w:val="fr-CA"/>
        </w:rPr>
        <w:t>•</w:t>
      </w:r>
      <w:r w:rsidRPr="00F60059">
        <w:rPr>
          <w:lang w:val="fr-CA"/>
        </w:rPr>
        <w:tab/>
      </w:r>
      <w:r w:rsidR="00E208A8" w:rsidRPr="00F60059">
        <w:rPr>
          <w:lang w:val="fr-CA"/>
        </w:rPr>
        <w:t xml:space="preserve">En évitant les </w:t>
      </w:r>
      <w:r w:rsidR="00E208A8" w:rsidRPr="00F60059">
        <w:rPr>
          <w:szCs w:val="20"/>
          <w:lang w:val="fr-CA"/>
        </w:rPr>
        <w:t>remises</w:t>
      </w:r>
      <w:r w:rsidR="00E208A8" w:rsidRPr="00F60059">
        <w:rPr>
          <w:lang w:val="fr-CA"/>
        </w:rPr>
        <w:t xml:space="preserve"> en cause inutiles, on évite le gaspillage de ressources (</w:t>
      </w:r>
      <w:r w:rsidR="00E208A8" w:rsidRPr="00F60059">
        <w:rPr>
          <w:i/>
          <w:iCs/>
          <w:lang w:val="fr-CA"/>
        </w:rPr>
        <w:t>Toronto (Ville)</w:t>
      </w:r>
      <w:r w:rsidR="00E208A8" w:rsidRPr="00F60059">
        <w:rPr>
          <w:lang w:val="fr-CA"/>
        </w:rPr>
        <w:t xml:space="preserve">, par. 37 et 51). </w:t>
      </w:r>
    </w:p>
    <w:p w:rsidR="00E208A8" w:rsidRPr="00F60059" w:rsidRDefault="00E208A8" w:rsidP="00E208A8">
      <w:pPr>
        <w:pStyle w:val="ParaNoNdepar-AltN"/>
        <w:tabs>
          <w:tab w:val="left" w:pos="7920"/>
        </w:tabs>
        <w:rPr>
          <w:lang w:val="fr-CA"/>
        </w:rPr>
      </w:pPr>
      <w:r w:rsidRPr="00F60059">
        <w:rPr>
          <w:lang w:val="fr-CA"/>
        </w:rPr>
        <w:lastRenderedPageBreak/>
        <w:t>C’est sur ces p</w:t>
      </w:r>
      <w:r w:rsidR="00744EB4">
        <w:rPr>
          <w:lang w:val="fr-CA"/>
        </w:rPr>
        <w:t>rincipes que repose l’al. 27(1)</w:t>
      </w:r>
      <w:r w:rsidRPr="00F60059">
        <w:rPr>
          <w:lang w:val="fr-CA"/>
        </w:rPr>
        <w:t xml:space="preserve">f).  Individuellement et collectivement, ils font échec aux arguments voulant que l’accessibilité à la justice soit synonyme d’accès successifs à de multiples forums ou que plus on rend de décisions plus on s’approche de la justice.  </w:t>
      </w:r>
    </w:p>
    <w:p w:rsidR="00E208A8" w:rsidRPr="00F60059" w:rsidRDefault="00E208A8" w:rsidP="00E208A8">
      <w:pPr>
        <w:pStyle w:val="ParaNoNdepar-AltN"/>
        <w:tabs>
          <w:tab w:val="left" w:pos="7920"/>
        </w:tabs>
        <w:rPr>
          <w:lang w:val="fr-CA"/>
        </w:rPr>
      </w:pPr>
      <w:r w:rsidRPr="00F60059">
        <w:rPr>
          <w:lang w:val="fr-CA"/>
        </w:rPr>
        <w:t>Considéré dans son ensemble, l’al</w:t>
      </w:r>
      <w:r w:rsidR="0076394D" w:rsidRPr="00F60059">
        <w:rPr>
          <w:lang w:val="fr-CA"/>
        </w:rPr>
        <w:t>.</w:t>
      </w:r>
      <w:r w:rsidR="00744EB4">
        <w:rPr>
          <w:lang w:val="fr-CA"/>
        </w:rPr>
        <w:t> 27(1)</w:t>
      </w:r>
      <w:r w:rsidRPr="00F60059">
        <w:rPr>
          <w:lang w:val="fr-CA"/>
        </w:rPr>
        <w:t xml:space="preserve">f) ne codifie pas les doctrines </w:t>
      </w:r>
      <w:proofErr w:type="spellStart"/>
      <w:r w:rsidRPr="00F60059">
        <w:rPr>
          <w:lang w:val="fr-CA"/>
        </w:rPr>
        <w:t>elles</w:t>
      </w:r>
      <w:r w:rsidRPr="00F60059">
        <w:rPr>
          <w:lang w:val="fr-CA"/>
        </w:rPr>
        <w:noBreakHyphen/>
        <w:t>mêmes</w:t>
      </w:r>
      <w:proofErr w:type="spellEnd"/>
      <w:r w:rsidRPr="00F60059">
        <w:rPr>
          <w:lang w:val="fr-CA"/>
        </w:rPr>
        <w:t xml:space="preserve"> ou leurs explications techniques, il en englobe les principes sous-jacents afin d’assurer le caractère définitif des instances, l’équité et l’intégrité du système judiciaire en prévenant les incohérences, les dédoublements et les délais inutiles.  Il s’ensuit que ce ne sont pas tant des dogmes doctrinaux précis qui devraient guider le Tribunal que les objets de la disposition, qui sont d’assurer l’équité du caractère définitif du processus décisionnel et d’éviter la remise en cause de questions déjà tranchées par un décideur ayant compétence pour en connaître.  La justice est accrue par la protection de l’attente des parties qu’elles ne soient pas sujettes à des instances supplémentaires, devant un forum différent, pour des questions qu’elles estimaient résolues définitivement.  Le magasinage de forum pour que l’issue d’un litige soit différente et meilleure peut être maquillé de nombreux qualificatifs attrayants, l’équité n’en fait toutefois pas partie.</w:t>
      </w:r>
    </w:p>
    <w:p w:rsidR="00E208A8" w:rsidRPr="00F60059" w:rsidRDefault="00E208A8" w:rsidP="00E208A8">
      <w:pPr>
        <w:pStyle w:val="ParaNoNdepar-AltN"/>
        <w:rPr>
          <w:lang w:val="fr-CA"/>
        </w:rPr>
      </w:pPr>
      <w:r w:rsidRPr="00F60059">
        <w:rPr>
          <w:lang w:val="fr-CA"/>
        </w:rPr>
        <w:t xml:space="preserve">En s’appuyant sur ces principes sous-jacents, le Tribunal est appelé à se demander s’il existe une compétence concurrente pour statuer sur les questions relatives aux droits de la personne, si la question juridique tranchée par la décision antérieure était essentiellement la même que celle qui est soulevée dans la plainte </w:t>
      </w:r>
      <w:r w:rsidRPr="00F60059">
        <w:rPr>
          <w:lang w:val="fr-CA"/>
        </w:rPr>
        <w:lastRenderedPageBreak/>
        <w:t xml:space="preserve">dont il est saisi et si le processus antérieur, qu’il ressemble ou non à la procédure que le Tribunal préfère ou utilise </w:t>
      </w:r>
      <w:proofErr w:type="spellStart"/>
      <w:r w:rsidRPr="00F60059">
        <w:rPr>
          <w:lang w:val="fr-CA"/>
        </w:rPr>
        <w:t>lui</w:t>
      </w:r>
      <w:r w:rsidRPr="00F60059">
        <w:rPr>
          <w:lang w:val="fr-CA"/>
        </w:rPr>
        <w:noBreakHyphen/>
        <w:t>même</w:t>
      </w:r>
      <w:proofErr w:type="spellEnd"/>
      <w:r w:rsidRPr="00F60059">
        <w:rPr>
          <w:lang w:val="fr-CA"/>
        </w:rPr>
        <w:t xml:space="preserve">, a offert la possibilité aux plaignants ou à leurs ayants droit de connaître les éléments invoqués contre eux et de les réfuter.  Toutes ces questions visent à déterminer s’il </w:t>
      </w:r>
      <w:r w:rsidR="0076394D" w:rsidRPr="00F60059">
        <w:rPr>
          <w:lang w:val="fr-CA"/>
        </w:rPr>
        <w:t>[</w:t>
      </w:r>
      <w:r w:rsidR="0076394D" w:rsidRPr="00F60059">
        <w:rPr>
          <w:smallCaps/>
          <w:lang w:val="fr-CA"/>
        </w:rPr>
        <w:t>traduction</w:t>
      </w:r>
      <w:r w:rsidR="0076394D" w:rsidRPr="00F60059">
        <w:rPr>
          <w:lang w:val="fr-CA"/>
        </w:rPr>
        <w:t xml:space="preserve">] </w:t>
      </w:r>
      <w:r w:rsidRPr="00F60059">
        <w:rPr>
          <w:lang w:val="fr-CA"/>
        </w:rPr>
        <w:t>« a été statué de façon appropriée » sur le fond de la plainte. Il s’agit, en définitive, de se demander s’il est logique de consacrer des ressources publiques et privées à la remise en cause de ce qui est essentiellement le même litige.</w:t>
      </w:r>
    </w:p>
    <w:p w:rsidR="00E208A8" w:rsidRPr="00F60059" w:rsidRDefault="00E208A8" w:rsidP="00E208A8">
      <w:pPr>
        <w:pStyle w:val="ParaNoNdepar-AltN"/>
        <w:rPr>
          <w:lang w:val="fr-CA"/>
        </w:rPr>
      </w:pPr>
      <w:r w:rsidRPr="00F60059">
        <w:rPr>
          <w:lang w:val="fr-CA"/>
        </w:rPr>
        <w:t xml:space="preserve">Ce que </w:t>
      </w:r>
      <w:r w:rsidRPr="00F60059">
        <w:rPr>
          <w:i/>
          <w:lang w:val="fr-CA"/>
        </w:rPr>
        <w:t>ne</w:t>
      </w:r>
      <w:r w:rsidRPr="00F60059">
        <w:rPr>
          <w:lang w:val="fr-CA"/>
        </w:rPr>
        <w:t xml:space="preserve"> fait </w:t>
      </w:r>
      <w:r w:rsidRPr="00F60059">
        <w:rPr>
          <w:i/>
          <w:iCs/>
          <w:lang w:val="fr-CA"/>
        </w:rPr>
        <w:t>pas</w:t>
      </w:r>
      <w:r w:rsidR="00F36DC3">
        <w:rPr>
          <w:lang w:val="fr-CA"/>
        </w:rPr>
        <w:t xml:space="preserve"> l’al. 27(1)</w:t>
      </w:r>
      <w:r w:rsidRPr="00F60059">
        <w:rPr>
          <w:lang w:val="fr-CA"/>
        </w:rPr>
        <w:t xml:space="preserve">f), selon moi, c’est inviter au « contrôle judiciaire » de la décision d’un autre tribunal ou au réexamen d’une question dûment tranchée pour voir si un résultat différent pourrait en émerger.  Cet alinéa vise plutôt à instaurer un respect juridictionnel entre tribunaux administratifs voisins, englobant le respect du droit à la protection de leur </w:t>
      </w:r>
      <w:r w:rsidR="0064272C" w:rsidRPr="00F60059">
        <w:rPr>
          <w:lang w:val="fr-CA"/>
        </w:rPr>
        <w:t xml:space="preserve">propre </w:t>
      </w:r>
      <w:r w:rsidRPr="00F60059">
        <w:rPr>
          <w:lang w:val="fr-CA"/>
        </w:rPr>
        <w:t xml:space="preserve">voie verticale de révision contre les empiétements indirects.  L’organisme juridictionnel qui se prononce sur une question qui est de son ressort et les parties en cause doivent pouvoir tenir pour acquis que, sous réserve d’un appel ou d’un contrôle judiciaire, non seulement la décision </w:t>
      </w:r>
      <w:proofErr w:type="spellStart"/>
      <w:r w:rsidRPr="00F60059">
        <w:rPr>
          <w:i/>
          <w:iCs/>
          <w:lang w:val="fr-CA"/>
        </w:rPr>
        <w:t>sera</w:t>
      </w:r>
      <w:r w:rsidRPr="00F60059">
        <w:rPr>
          <w:i/>
          <w:iCs/>
          <w:lang w:val="fr-CA"/>
        </w:rPr>
        <w:noBreakHyphen/>
        <w:t>t</w:t>
      </w:r>
      <w:r w:rsidRPr="00F60059">
        <w:rPr>
          <w:i/>
          <w:iCs/>
          <w:lang w:val="fr-CA"/>
        </w:rPr>
        <w:noBreakHyphen/>
        <w:t>elle</w:t>
      </w:r>
      <w:proofErr w:type="spellEnd"/>
      <w:r w:rsidRPr="00F60059">
        <w:rPr>
          <w:lang w:val="fr-CA"/>
        </w:rPr>
        <w:t xml:space="preserve"> définitive, mais elle sera considérée telle par les autres organismes juridictionnels.  La justesse de l’instance antérieure quant au fond ou à la forme ne saurait servir d’appât pour d’autres tribunaux administratifs exerçant une compétence concurrente. </w:t>
      </w:r>
    </w:p>
    <w:p w:rsidR="00E208A8" w:rsidRPr="00F60059" w:rsidRDefault="00E208A8" w:rsidP="00E208A8">
      <w:pPr>
        <w:pStyle w:val="ParaNoNdepar-AltN"/>
        <w:rPr>
          <w:lang w:val="fr-CA"/>
        </w:rPr>
      </w:pPr>
      <w:r w:rsidRPr="00F60059">
        <w:rPr>
          <w:lang w:val="fr-CA"/>
        </w:rPr>
        <w:t>Tel que je le conçois, le pouvoir discréti</w:t>
      </w:r>
      <w:r w:rsidR="00F36DC3">
        <w:rPr>
          <w:lang w:val="fr-CA"/>
        </w:rPr>
        <w:t>onnaire conféré par l’al. 27(1)</w:t>
      </w:r>
      <w:r w:rsidRPr="00F60059">
        <w:rPr>
          <w:lang w:val="fr-CA"/>
        </w:rPr>
        <w:t xml:space="preserve">f) est en fait restreint, non seulement en raison du texte de cette disposition, mais </w:t>
      </w:r>
      <w:r w:rsidRPr="00F60059">
        <w:rPr>
          <w:lang w:val="fr-CA"/>
        </w:rPr>
        <w:lastRenderedPageBreak/>
        <w:t xml:space="preserve">également de la nature des six autres catégories de plaintes mentionnées au par. 27(1), lequel prévoit ce qui suit : </w:t>
      </w:r>
    </w:p>
    <w:p w:rsidR="00E208A8" w:rsidRPr="00F60059" w:rsidRDefault="00E208A8" w:rsidP="0064272C">
      <w:pPr>
        <w:pStyle w:val="Citation-AltC"/>
        <w:tabs>
          <w:tab w:val="left" w:pos="1260"/>
        </w:tabs>
        <w:spacing w:after="240"/>
        <w:ind w:left="0"/>
        <w:rPr>
          <w:lang w:val="fr-CA"/>
        </w:rPr>
      </w:pPr>
      <w:r w:rsidRPr="00F60059">
        <w:rPr>
          <w:lang w:val="fr-CA"/>
        </w:rPr>
        <w:tab/>
        <w:t>[</w:t>
      </w:r>
      <w:r w:rsidRPr="00F60059">
        <w:rPr>
          <w:smallCaps/>
          <w:lang w:val="fr-CA"/>
        </w:rPr>
        <w:t>traduction</w:t>
      </w:r>
      <w:r w:rsidRPr="00F60059">
        <w:rPr>
          <w:lang w:val="fr-CA"/>
        </w:rPr>
        <w:t>]</w:t>
      </w:r>
    </w:p>
    <w:p w:rsidR="00E208A8" w:rsidRPr="00F60059" w:rsidRDefault="00B8202E" w:rsidP="0064272C">
      <w:pPr>
        <w:pStyle w:val="Citation-AltC"/>
        <w:tabs>
          <w:tab w:val="left" w:pos="1260"/>
          <w:tab w:val="left" w:pos="1980"/>
        </w:tabs>
        <w:spacing w:after="240"/>
        <w:ind w:left="1980" w:hanging="1980"/>
        <w:rPr>
          <w:lang w:val="fr-CA"/>
        </w:rPr>
      </w:pPr>
      <w:r w:rsidRPr="00F60059">
        <w:rPr>
          <w:lang w:val="fr-CA"/>
        </w:rPr>
        <w:tab/>
      </w:r>
      <w:r w:rsidR="0064272C" w:rsidRPr="0064272C">
        <w:rPr>
          <w:b/>
          <w:lang w:val="fr-CA"/>
        </w:rPr>
        <w:t>27</w:t>
      </w:r>
      <w:r w:rsidR="0064272C">
        <w:rPr>
          <w:lang w:val="fr-CA"/>
        </w:rPr>
        <w:t xml:space="preserve"> </w:t>
      </w:r>
      <w:r w:rsidR="00E208A8" w:rsidRPr="00F60059">
        <w:rPr>
          <w:lang w:val="fr-CA"/>
        </w:rPr>
        <w:t>(1)</w:t>
      </w:r>
      <w:r w:rsidR="00E208A8" w:rsidRPr="00F60059">
        <w:rPr>
          <w:lang w:val="fr-CA"/>
        </w:rPr>
        <w:tab/>
        <w:t>Un membre ou une formation peut, à tout moment après le dépôt d’une plainte, rejeter une plainte en totalité ou en partie, avec ou sans audience si, à son avis, l’une ou l’autre des circonstances suivantes est applicable :</w:t>
      </w:r>
    </w:p>
    <w:p w:rsidR="00E208A8" w:rsidRPr="00F60059" w:rsidRDefault="00B8202E" w:rsidP="00B8202E">
      <w:pPr>
        <w:pStyle w:val="Citation-AltC"/>
        <w:tabs>
          <w:tab w:val="left" w:pos="1980"/>
          <w:tab w:val="left" w:pos="2520"/>
        </w:tabs>
        <w:spacing w:after="240"/>
        <w:ind w:left="2520" w:hanging="2520"/>
        <w:rPr>
          <w:lang w:val="fr-CA"/>
        </w:rPr>
      </w:pPr>
      <w:r w:rsidRPr="00F60059">
        <w:rPr>
          <w:iCs/>
          <w:lang w:val="fr-CA"/>
        </w:rPr>
        <w:tab/>
      </w:r>
      <w:r w:rsidR="00E208A8" w:rsidRPr="00F60059">
        <w:rPr>
          <w:iCs/>
          <w:lang w:val="fr-CA"/>
        </w:rPr>
        <w:t>a</w:t>
      </w:r>
      <w:r w:rsidR="00E208A8" w:rsidRPr="00F60059">
        <w:rPr>
          <w:lang w:val="fr-CA"/>
        </w:rPr>
        <w:t>)</w:t>
      </w:r>
      <w:r w:rsidR="00E208A8" w:rsidRPr="00F60059">
        <w:rPr>
          <w:lang w:val="fr-CA"/>
        </w:rPr>
        <w:tab/>
        <w:t xml:space="preserve">la plainte ou </w:t>
      </w:r>
      <w:r w:rsidR="00E208A8" w:rsidRPr="00F60059">
        <w:rPr>
          <w:szCs w:val="20"/>
          <w:lang w:val="fr-CA"/>
        </w:rPr>
        <w:t>une</w:t>
      </w:r>
      <w:r w:rsidR="00E208A8" w:rsidRPr="00F60059">
        <w:rPr>
          <w:lang w:val="fr-CA"/>
        </w:rPr>
        <w:t xml:space="preserve"> partie de la plainte ne relève pas de la compétence du tribunal;</w:t>
      </w:r>
    </w:p>
    <w:p w:rsidR="00E208A8" w:rsidRPr="00F60059" w:rsidRDefault="00B8202E" w:rsidP="00B8202E">
      <w:pPr>
        <w:pStyle w:val="Citation-AltC"/>
        <w:tabs>
          <w:tab w:val="left" w:pos="1980"/>
          <w:tab w:val="left" w:pos="2520"/>
        </w:tabs>
        <w:spacing w:after="240"/>
        <w:ind w:left="2520" w:hanging="2520"/>
        <w:rPr>
          <w:lang w:val="fr-CA"/>
        </w:rPr>
      </w:pPr>
      <w:r w:rsidRPr="00F60059">
        <w:rPr>
          <w:iCs/>
          <w:lang w:val="fr-CA"/>
        </w:rPr>
        <w:tab/>
      </w:r>
      <w:r w:rsidR="00E208A8" w:rsidRPr="00F60059">
        <w:rPr>
          <w:iCs/>
          <w:lang w:val="fr-CA"/>
        </w:rPr>
        <w:t>b</w:t>
      </w:r>
      <w:r w:rsidR="00E208A8" w:rsidRPr="00F60059">
        <w:rPr>
          <w:lang w:val="fr-CA"/>
        </w:rPr>
        <w:t>)</w:t>
      </w:r>
      <w:r w:rsidR="00E208A8" w:rsidRPr="00F60059">
        <w:rPr>
          <w:lang w:val="fr-CA"/>
        </w:rPr>
        <w:tab/>
        <w:t>les actes ou omissions allégués ne contreviennent pas au présent Code;</w:t>
      </w:r>
    </w:p>
    <w:p w:rsidR="00E208A8" w:rsidRPr="00F60059" w:rsidRDefault="00B8202E" w:rsidP="00B8202E">
      <w:pPr>
        <w:pStyle w:val="Citation-AltC"/>
        <w:tabs>
          <w:tab w:val="left" w:pos="1980"/>
          <w:tab w:val="left" w:pos="2520"/>
        </w:tabs>
        <w:spacing w:after="240"/>
        <w:ind w:left="2520" w:hanging="2520"/>
        <w:rPr>
          <w:lang w:val="fr-CA"/>
        </w:rPr>
      </w:pPr>
      <w:r w:rsidRPr="00F60059">
        <w:rPr>
          <w:iCs/>
          <w:lang w:val="fr-CA"/>
        </w:rPr>
        <w:tab/>
      </w:r>
      <w:r w:rsidR="00E208A8" w:rsidRPr="00F60059">
        <w:rPr>
          <w:iCs/>
          <w:lang w:val="fr-CA"/>
        </w:rPr>
        <w:t>c</w:t>
      </w:r>
      <w:r w:rsidR="00E208A8" w:rsidRPr="00F60059">
        <w:rPr>
          <w:lang w:val="fr-CA"/>
        </w:rPr>
        <w:t>)</w:t>
      </w:r>
      <w:r w:rsidR="00E208A8" w:rsidRPr="00F60059">
        <w:rPr>
          <w:lang w:val="fr-CA"/>
        </w:rPr>
        <w:tab/>
        <w:t>il n’existe aucune possibilité raisonnable que le plaignant ait gain de cause;</w:t>
      </w:r>
    </w:p>
    <w:p w:rsidR="00E208A8" w:rsidRPr="00F60059" w:rsidRDefault="00B8202E" w:rsidP="00B8202E">
      <w:pPr>
        <w:pStyle w:val="Citation-AltC"/>
        <w:tabs>
          <w:tab w:val="left" w:pos="1980"/>
          <w:tab w:val="left" w:pos="2520"/>
        </w:tabs>
        <w:spacing w:after="240"/>
        <w:ind w:left="2520" w:hanging="2520"/>
        <w:rPr>
          <w:lang w:val="fr-CA"/>
        </w:rPr>
      </w:pPr>
      <w:r w:rsidRPr="00F60059">
        <w:rPr>
          <w:iCs/>
          <w:lang w:val="fr-CA"/>
        </w:rPr>
        <w:tab/>
      </w:r>
      <w:r w:rsidR="00E208A8" w:rsidRPr="00F60059">
        <w:rPr>
          <w:iCs/>
          <w:lang w:val="fr-CA"/>
        </w:rPr>
        <w:t>d</w:t>
      </w:r>
      <w:r w:rsidR="00E208A8" w:rsidRPr="00F60059">
        <w:rPr>
          <w:lang w:val="fr-CA"/>
        </w:rPr>
        <w:t>)</w:t>
      </w:r>
      <w:r w:rsidR="00E208A8" w:rsidRPr="00F60059">
        <w:rPr>
          <w:lang w:val="fr-CA"/>
        </w:rPr>
        <w:tab/>
        <w:t>connaître en totalité ou en partie de la plainte :</w:t>
      </w:r>
    </w:p>
    <w:p w:rsidR="00E208A8" w:rsidRPr="00F60059" w:rsidRDefault="00B8202E" w:rsidP="00B8202E">
      <w:pPr>
        <w:pStyle w:val="Citation-AltC"/>
        <w:tabs>
          <w:tab w:val="left" w:pos="1890"/>
          <w:tab w:val="left" w:pos="2520"/>
        </w:tabs>
        <w:spacing w:after="240"/>
        <w:ind w:left="3060" w:hanging="2880"/>
        <w:rPr>
          <w:lang w:val="fr-CA"/>
        </w:rPr>
      </w:pPr>
      <w:r w:rsidRPr="00F60059">
        <w:rPr>
          <w:lang w:val="fr-CA"/>
        </w:rPr>
        <w:tab/>
      </w:r>
      <w:r w:rsidRPr="00F60059">
        <w:rPr>
          <w:lang w:val="fr-CA"/>
        </w:rPr>
        <w:tab/>
      </w:r>
      <w:r w:rsidR="00E208A8" w:rsidRPr="00F60059">
        <w:rPr>
          <w:lang w:val="fr-CA"/>
        </w:rPr>
        <w:t>(i)</w:t>
      </w:r>
      <w:r w:rsidR="00E208A8" w:rsidRPr="00F60059">
        <w:rPr>
          <w:lang w:val="fr-CA"/>
        </w:rPr>
        <w:tab/>
      </w:r>
      <w:r w:rsidR="00E208A8" w:rsidRPr="00F60059">
        <w:rPr>
          <w:szCs w:val="20"/>
          <w:lang w:val="fr-CA"/>
        </w:rPr>
        <w:t>n’apporterait</w:t>
      </w:r>
      <w:r w:rsidR="00E208A8" w:rsidRPr="00F60059">
        <w:rPr>
          <w:lang w:val="fr-CA"/>
        </w:rPr>
        <w:t xml:space="preserve"> rien à la personne, au groupe ou à la catégorie censés avoir été victime de discrimination; </w:t>
      </w:r>
    </w:p>
    <w:p w:rsidR="00E208A8" w:rsidRPr="00F60059" w:rsidRDefault="00B8202E" w:rsidP="00B8202E">
      <w:pPr>
        <w:pStyle w:val="Citation-AltC"/>
        <w:tabs>
          <w:tab w:val="left" w:pos="1890"/>
          <w:tab w:val="left" w:pos="2520"/>
        </w:tabs>
        <w:spacing w:after="240"/>
        <w:ind w:left="3060" w:hanging="2880"/>
        <w:rPr>
          <w:lang w:val="fr-CA"/>
        </w:rPr>
      </w:pPr>
      <w:r w:rsidRPr="00F60059">
        <w:rPr>
          <w:lang w:val="fr-CA"/>
        </w:rPr>
        <w:tab/>
      </w:r>
      <w:r w:rsidRPr="00F60059">
        <w:rPr>
          <w:lang w:val="fr-CA"/>
        </w:rPr>
        <w:tab/>
      </w:r>
      <w:r w:rsidR="00E208A8" w:rsidRPr="00F60059">
        <w:rPr>
          <w:lang w:val="fr-CA"/>
        </w:rPr>
        <w:t>(ii)</w:t>
      </w:r>
      <w:r w:rsidR="00E208A8" w:rsidRPr="00F60059">
        <w:rPr>
          <w:lang w:val="fr-CA"/>
        </w:rPr>
        <w:tab/>
        <w:t xml:space="preserve">ne </w:t>
      </w:r>
      <w:r w:rsidR="00E208A8" w:rsidRPr="00F60059">
        <w:rPr>
          <w:szCs w:val="20"/>
          <w:lang w:val="fr-CA"/>
        </w:rPr>
        <w:t>servirait</w:t>
      </w:r>
      <w:r w:rsidR="00E208A8" w:rsidRPr="00F60059">
        <w:rPr>
          <w:lang w:val="fr-CA"/>
        </w:rPr>
        <w:t xml:space="preserve"> pas les fins poursuivies par le présent Code;</w:t>
      </w:r>
    </w:p>
    <w:p w:rsidR="00E208A8" w:rsidRPr="00F60059" w:rsidRDefault="00B8202E" w:rsidP="00B8202E">
      <w:pPr>
        <w:pStyle w:val="Citation-AltC"/>
        <w:tabs>
          <w:tab w:val="left" w:pos="1980"/>
          <w:tab w:val="left" w:pos="2520"/>
        </w:tabs>
        <w:spacing w:after="240"/>
        <w:ind w:left="2520" w:hanging="2520"/>
        <w:rPr>
          <w:lang w:val="fr-CA"/>
        </w:rPr>
      </w:pPr>
      <w:r w:rsidRPr="00F60059">
        <w:rPr>
          <w:iCs/>
          <w:lang w:val="fr-CA"/>
        </w:rPr>
        <w:tab/>
      </w:r>
      <w:r w:rsidR="00E208A8" w:rsidRPr="00F60059">
        <w:rPr>
          <w:iCs/>
          <w:lang w:val="fr-CA"/>
        </w:rPr>
        <w:t>e</w:t>
      </w:r>
      <w:r w:rsidR="00E208A8" w:rsidRPr="00F60059">
        <w:rPr>
          <w:lang w:val="fr-CA"/>
        </w:rPr>
        <w:t>)</w:t>
      </w:r>
      <w:r w:rsidR="00E208A8" w:rsidRPr="00F60059">
        <w:rPr>
          <w:lang w:val="fr-CA"/>
        </w:rPr>
        <w:tab/>
        <w:t>la totalité ou partie de la plainte a été déposée de mauvaise foi ou à des fins illégitimes;</w:t>
      </w:r>
    </w:p>
    <w:p w:rsidR="00E208A8" w:rsidRPr="00F60059" w:rsidRDefault="00B8202E" w:rsidP="00B8202E">
      <w:pPr>
        <w:pStyle w:val="Citation-AltC"/>
        <w:tabs>
          <w:tab w:val="left" w:pos="1980"/>
          <w:tab w:val="left" w:pos="2520"/>
        </w:tabs>
        <w:spacing w:after="240"/>
        <w:ind w:left="2520" w:hanging="2520"/>
        <w:rPr>
          <w:lang w:val="fr-CA"/>
        </w:rPr>
      </w:pPr>
      <w:r w:rsidRPr="00F60059">
        <w:rPr>
          <w:iCs/>
          <w:lang w:val="fr-CA"/>
        </w:rPr>
        <w:tab/>
      </w:r>
      <w:r w:rsidR="00E208A8" w:rsidRPr="00F60059">
        <w:rPr>
          <w:iCs/>
          <w:lang w:val="fr-CA"/>
        </w:rPr>
        <w:t>f</w:t>
      </w:r>
      <w:r w:rsidR="00E208A8" w:rsidRPr="00F60059">
        <w:rPr>
          <w:lang w:val="fr-CA"/>
        </w:rPr>
        <w:t>)</w:t>
      </w:r>
      <w:r w:rsidR="00E208A8" w:rsidRPr="00F60059">
        <w:rPr>
          <w:lang w:val="fr-CA"/>
        </w:rPr>
        <w:tab/>
        <w:t>il a été statué de façon appropriée sur le fond de la plainte dans une autre instance;</w:t>
      </w:r>
    </w:p>
    <w:p w:rsidR="00E208A8" w:rsidRPr="00F60059" w:rsidRDefault="00B8202E" w:rsidP="00B8202E">
      <w:pPr>
        <w:pStyle w:val="Citation-AltC"/>
        <w:tabs>
          <w:tab w:val="left" w:pos="1980"/>
          <w:tab w:val="left" w:pos="2520"/>
        </w:tabs>
        <w:ind w:left="2520" w:hanging="2520"/>
        <w:rPr>
          <w:lang w:val="fr-CA"/>
        </w:rPr>
      </w:pPr>
      <w:r w:rsidRPr="00F60059">
        <w:rPr>
          <w:iCs/>
          <w:lang w:val="fr-CA"/>
        </w:rPr>
        <w:tab/>
      </w:r>
      <w:r w:rsidR="00E208A8" w:rsidRPr="00F60059">
        <w:rPr>
          <w:iCs/>
          <w:lang w:val="fr-CA"/>
        </w:rPr>
        <w:t>g</w:t>
      </w:r>
      <w:r w:rsidR="00E208A8" w:rsidRPr="00F60059">
        <w:rPr>
          <w:lang w:val="fr-CA"/>
        </w:rPr>
        <w:t>)</w:t>
      </w:r>
      <w:r w:rsidR="00E208A8" w:rsidRPr="00F60059">
        <w:rPr>
          <w:lang w:val="fr-CA"/>
        </w:rPr>
        <w:tab/>
        <w:t>la contravention alléguée dans la plainte ou dans une partie de la plainte est survenue plus de six mois avant le dépôt de la plainte, sauf s’il y a eu acceptation de la plainte en totalité ou en partie en vertu du paragraphe 22(3).</w:t>
      </w:r>
    </w:p>
    <w:p w:rsidR="00E208A8" w:rsidRPr="00F60059" w:rsidRDefault="00E208A8" w:rsidP="00E208A8">
      <w:pPr>
        <w:pStyle w:val="ParaNoNdepar-AltN"/>
        <w:rPr>
          <w:lang w:val="fr-CA"/>
        </w:rPr>
      </w:pPr>
      <w:r w:rsidRPr="00F60059">
        <w:rPr>
          <w:lang w:val="fr-CA"/>
        </w:rPr>
        <w:t xml:space="preserve">Chaque alinéa du par. 27(1) fait référence à des circonstances qui laissent présumer qu’il ne serait pas justifié d’entendre la plainte : les plaintes qui ne relèvent </w:t>
      </w:r>
      <w:r w:rsidRPr="00F60059">
        <w:rPr>
          <w:lang w:val="fr-CA"/>
        </w:rPr>
        <w:lastRenderedPageBreak/>
        <w:t xml:space="preserve">pas de la compétence du Tribunal, celles qui allèguent des actes ou des omissions qui ne contreviennent pas au </w:t>
      </w:r>
      <w:r w:rsidRPr="00F60059">
        <w:rPr>
          <w:i/>
          <w:lang w:val="fr-CA"/>
        </w:rPr>
        <w:t>Code</w:t>
      </w:r>
      <w:r w:rsidRPr="00F60059">
        <w:rPr>
          <w:lang w:val="fr-CA"/>
        </w:rPr>
        <w:t>, s’il n’existe aucune possibilité raisonnable que le plaignant ait gain de cause, si les plaintes n’apporteraient rien au plaignant et ne servirai</w:t>
      </w:r>
      <w:r w:rsidR="0064272C">
        <w:rPr>
          <w:lang w:val="fr-CA"/>
        </w:rPr>
        <w:t>en</w:t>
      </w:r>
      <w:r w:rsidRPr="00F60059">
        <w:rPr>
          <w:lang w:val="fr-CA"/>
        </w:rPr>
        <w:t xml:space="preserve">t pas les fins poursuivies par le </w:t>
      </w:r>
      <w:r w:rsidRPr="00F60059">
        <w:rPr>
          <w:i/>
          <w:lang w:val="fr-CA"/>
        </w:rPr>
        <w:t xml:space="preserve">Code </w:t>
      </w:r>
      <w:r w:rsidRPr="00F60059">
        <w:rPr>
          <w:lang w:val="fr-CA"/>
        </w:rPr>
        <w:t xml:space="preserve">ou si elles ont été déposées de mauvaise foi ou à des fins illégitimes. Voilà quelles sont les dispositions qui accompagnent </w:t>
      </w:r>
      <w:r w:rsidR="00AB2C57">
        <w:rPr>
          <w:lang w:val="fr-CA"/>
        </w:rPr>
        <w:t>l’al. 27(1)</w:t>
      </w:r>
      <w:r w:rsidRPr="00F60059">
        <w:rPr>
          <w:lang w:val="fr-CA"/>
        </w:rPr>
        <w:t>f).  La présence du verbe « peut » dans le passage introductif du par. 27(1) signifie que le Tribunal dispose d’un certain pouvoir discrétionnaire lorsqu’il décide de rejeter ou non ce type de plaintes.  Mais il me semble contre</w:t>
      </w:r>
      <w:r w:rsidR="0064272C">
        <w:rPr>
          <w:lang w:val="fr-CA"/>
        </w:rPr>
        <w:t>-</w:t>
      </w:r>
      <w:r w:rsidRPr="00F60059">
        <w:rPr>
          <w:lang w:val="fr-CA"/>
        </w:rPr>
        <w:t xml:space="preserve">intuitif de penser que le législateur aurait eu l’intention de conférer au Tribunal une grande latitude pour décider, par exemple, s’il convient de rejeter les plaintes qui ne relèvent pas de sa compétence, qui ne risquent pas d’être accueillies ou qui ont été déposées de mauvaise foi.  </w:t>
      </w:r>
    </w:p>
    <w:p w:rsidR="00E208A8" w:rsidRPr="00F60059" w:rsidRDefault="00E208A8" w:rsidP="00E208A8">
      <w:pPr>
        <w:pStyle w:val="ParaNoNdepar-AltN"/>
        <w:rPr>
          <w:lang w:val="fr-CA"/>
        </w:rPr>
      </w:pPr>
      <w:r w:rsidRPr="00F60059">
        <w:rPr>
          <w:lang w:val="fr-CA"/>
        </w:rPr>
        <w:t xml:space="preserve">C’est dans ce contexte qu’il faut comprendre l’expression </w:t>
      </w:r>
      <w:r w:rsidR="0076394D" w:rsidRPr="00F60059">
        <w:rPr>
          <w:lang w:val="fr-CA"/>
        </w:rPr>
        <w:t>[</w:t>
      </w:r>
      <w:r w:rsidR="0076394D" w:rsidRPr="00F60059">
        <w:rPr>
          <w:smallCaps/>
          <w:lang w:val="fr-CA"/>
        </w:rPr>
        <w:t>traduction</w:t>
      </w:r>
      <w:r w:rsidR="0076394D" w:rsidRPr="00F60059">
        <w:rPr>
          <w:lang w:val="fr-CA"/>
        </w:rPr>
        <w:t xml:space="preserve">] </w:t>
      </w:r>
      <w:r w:rsidRPr="00F60059">
        <w:rPr>
          <w:lang w:val="fr-CA"/>
        </w:rPr>
        <w:t>« statué de façon appropriée » qui figure à l’al. 27(1)f).  Toutes les autres dispositions qui entourent cet alinéa tendent à encourager le rejet.  À première vue, il n’existe aucun fondement rationnel pour interpréter l’al. 27(1)f) indépendamment du reste du par. 27(1).  Certes, pris isolément, le sens de l’adjectif « approprié » peut facilement, sur le plan linguistique, être étiré dans plusieurs directions.  Cela étant dit, notre tâche ne consiste pas à définir ce mot, elle consiste à le définir dans le contexte de la disposition où il se trouve de sorte que, dans la mesure du possible, les intentions du législateur puissent être respectées.</w:t>
      </w:r>
    </w:p>
    <w:p w:rsidR="00E208A8" w:rsidRPr="00F60059" w:rsidRDefault="00E208A8" w:rsidP="00E208A8">
      <w:pPr>
        <w:pStyle w:val="ParaNoNdepar-AltN"/>
        <w:rPr>
          <w:lang w:val="fr-CA"/>
        </w:rPr>
      </w:pPr>
      <w:r w:rsidRPr="00F60059">
        <w:rPr>
          <w:lang w:val="fr-CA"/>
        </w:rPr>
        <w:lastRenderedPageBreak/>
        <w:t>L’historique de l’al</w:t>
      </w:r>
      <w:r w:rsidR="00162607">
        <w:rPr>
          <w:lang w:val="fr-CA"/>
        </w:rPr>
        <w:t>.</w:t>
      </w:r>
      <w:r w:rsidR="00D967E8">
        <w:rPr>
          <w:lang w:val="fr-CA"/>
        </w:rPr>
        <w:t> 27(1)</w:t>
      </w:r>
      <w:r w:rsidRPr="00F60059">
        <w:rPr>
          <w:lang w:val="fr-CA"/>
        </w:rPr>
        <w:t xml:space="preserve">f) n’appuie pas non plus la thèse selon laquelle le législateur avait l’intention de donner au Tribunal un vaste pouvoir discrétionnaire de réentendre les plaintes à l’égard desquelles d’autres tribunaux s’étaient déjà prononcés.  Antérieurement, les par. 25(3) et 27(2) du </w:t>
      </w:r>
      <w:r w:rsidRPr="00F60059">
        <w:rPr>
          <w:i/>
          <w:lang w:val="fr-CA"/>
        </w:rPr>
        <w:t>Code</w:t>
      </w:r>
      <w:r w:rsidRPr="00F60059">
        <w:rPr>
          <w:lang w:val="fr-CA"/>
        </w:rPr>
        <w:t xml:space="preserve"> exigeaient que le Tribunal tienne compte du sujet de la procédure antérieure, de sa nature ainsi que des mesures de réparations offertes pour décider s’il reportait ou rejetait une plainte sans audience.  Selon l’interprétation qu’en a donné la Commission des droits de la personne, ces facteurs comprenaient l’équité administrative de l’instance antérieure, l’expertise du décideur, une réflexion sur le forum qui était le plus approprié pour discuter des questions en litige et une autre sur la question de savoir si l’instance antérieure permettait d’obtenir une réparation adéquate, tous des facteurs qui étaient des obstacles au rejet des plaintes : voir D. K. </w:t>
      </w:r>
      <w:proofErr w:type="spellStart"/>
      <w:r w:rsidRPr="00F60059">
        <w:rPr>
          <w:lang w:val="fr-CA"/>
        </w:rPr>
        <w:t>Lovett</w:t>
      </w:r>
      <w:proofErr w:type="spellEnd"/>
      <w:r w:rsidRPr="00F60059">
        <w:rPr>
          <w:lang w:val="fr-CA"/>
        </w:rPr>
        <w:t xml:space="preserve"> et A. R. </w:t>
      </w:r>
      <w:proofErr w:type="spellStart"/>
      <w:r w:rsidRPr="00F60059">
        <w:rPr>
          <w:lang w:val="fr-CA"/>
        </w:rPr>
        <w:t>Westmacott</w:t>
      </w:r>
      <w:proofErr w:type="spellEnd"/>
      <w:r w:rsidRPr="00F60059">
        <w:rPr>
          <w:lang w:val="fr-CA"/>
        </w:rPr>
        <w:t>, « </w:t>
      </w:r>
      <w:proofErr w:type="spellStart"/>
      <w:r w:rsidRPr="00F60059">
        <w:rPr>
          <w:lang w:val="fr-CA"/>
        </w:rPr>
        <w:t>Human</w:t>
      </w:r>
      <w:proofErr w:type="spellEnd"/>
      <w:r w:rsidRPr="00F60059">
        <w:rPr>
          <w:lang w:val="fr-CA"/>
        </w:rPr>
        <w:t xml:space="preserve"> </w:t>
      </w:r>
      <w:proofErr w:type="spellStart"/>
      <w:r w:rsidRPr="00F60059">
        <w:rPr>
          <w:lang w:val="fr-CA"/>
        </w:rPr>
        <w:t>Rights</w:t>
      </w:r>
      <w:proofErr w:type="spellEnd"/>
      <w:r w:rsidRPr="00F60059">
        <w:rPr>
          <w:lang w:val="fr-CA"/>
        </w:rPr>
        <w:t xml:space="preserve"> </w:t>
      </w:r>
      <w:proofErr w:type="spellStart"/>
      <w:r w:rsidRPr="00F60059">
        <w:rPr>
          <w:lang w:val="fr-CA"/>
        </w:rPr>
        <w:t>Review</w:t>
      </w:r>
      <w:proofErr w:type="spellEnd"/>
      <w:r w:rsidRPr="00F60059">
        <w:rPr>
          <w:lang w:val="fr-CA"/>
        </w:rPr>
        <w:t xml:space="preserve"> : A Background </w:t>
      </w:r>
      <w:proofErr w:type="spellStart"/>
      <w:r w:rsidRPr="00F60059">
        <w:rPr>
          <w:lang w:val="fr-CA"/>
        </w:rPr>
        <w:t>Paper</w:t>
      </w:r>
      <w:proofErr w:type="spellEnd"/>
      <w:r w:rsidRPr="00F60059">
        <w:rPr>
          <w:lang w:val="fr-CA"/>
        </w:rPr>
        <w:t> » (2001)</w:t>
      </w:r>
      <w:r w:rsidR="0076394D" w:rsidRPr="00F60059">
        <w:rPr>
          <w:lang w:val="fr-CA"/>
        </w:rPr>
        <w:t xml:space="preserve"> </w:t>
      </w:r>
      <w:r w:rsidRPr="00F60059">
        <w:rPr>
          <w:lang w:val="fr-CA"/>
        </w:rPr>
        <w:t>(en ligne), p. 100 et 101.</w:t>
      </w:r>
    </w:p>
    <w:p w:rsidR="00E208A8" w:rsidRPr="00F60059" w:rsidRDefault="00E208A8" w:rsidP="00E208A8">
      <w:pPr>
        <w:pStyle w:val="ParaNoNdepar-AltN"/>
        <w:rPr>
          <w:lang w:val="fr-CA"/>
        </w:rPr>
      </w:pPr>
      <w:r w:rsidRPr="00F60059">
        <w:rPr>
          <w:lang w:val="fr-CA"/>
        </w:rPr>
        <w:t xml:space="preserve">Le législateur a retiré ces facteurs limitatifs en 2002, lors de l’édiction du </w:t>
      </w:r>
      <w:proofErr w:type="spellStart"/>
      <w:r w:rsidRPr="00F60059">
        <w:rPr>
          <w:i/>
          <w:lang w:val="fr-CA"/>
        </w:rPr>
        <w:t>Human</w:t>
      </w:r>
      <w:proofErr w:type="spellEnd"/>
      <w:r w:rsidRPr="00F60059">
        <w:rPr>
          <w:i/>
          <w:lang w:val="fr-CA"/>
        </w:rPr>
        <w:t xml:space="preserve"> </w:t>
      </w:r>
      <w:proofErr w:type="spellStart"/>
      <w:r w:rsidRPr="00F60059">
        <w:rPr>
          <w:i/>
          <w:lang w:val="fr-CA"/>
        </w:rPr>
        <w:t>Rights</w:t>
      </w:r>
      <w:proofErr w:type="spellEnd"/>
      <w:r w:rsidRPr="00F60059">
        <w:rPr>
          <w:i/>
          <w:lang w:val="fr-CA"/>
        </w:rPr>
        <w:t xml:space="preserve"> Code </w:t>
      </w:r>
      <w:proofErr w:type="spellStart"/>
      <w:r w:rsidRPr="00F60059">
        <w:rPr>
          <w:i/>
          <w:lang w:val="fr-CA"/>
        </w:rPr>
        <w:t>Amendment</w:t>
      </w:r>
      <w:proofErr w:type="spellEnd"/>
      <w:r w:rsidRPr="00F60059">
        <w:rPr>
          <w:i/>
          <w:lang w:val="fr-CA"/>
        </w:rPr>
        <w:t xml:space="preserve"> </w:t>
      </w:r>
      <w:proofErr w:type="spellStart"/>
      <w:r w:rsidRPr="00F60059">
        <w:rPr>
          <w:i/>
          <w:lang w:val="fr-CA"/>
        </w:rPr>
        <w:t>Act</w:t>
      </w:r>
      <w:proofErr w:type="spellEnd"/>
      <w:r w:rsidRPr="00F60059">
        <w:rPr>
          <w:i/>
          <w:lang w:val="fr-CA"/>
        </w:rPr>
        <w:t>, 2002</w:t>
      </w:r>
      <w:r w:rsidRPr="00F60059">
        <w:rPr>
          <w:lang w:val="fr-CA"/>
        </w:rPr>
        <w:t xml:space="preserve">, S.B.C. 2002, ch. 62.  En procédant ainsi au retrait de facteurs qui militaient </w:t>
      </w:r>
      <w:r w:rsidRPr="00F60059">
        <w:rPr>
          <w:i/>
          <w:lang w:val="fr-CA"/>
        </w:rPr>
        <w:t>contre</w:t>
      </w:r>
      <w:r w:rsidRPr="00F60059">
        <w:rPr>
          <w:lang w:val="fr-CA"/>
        </w:rPr>
        <w:t xml:space="preserve"> le rejet d’une plainte, on peut en déduire à bon droit que le législateur avait l’intention que le Tribunal adopte une approche différente, soit, une approche qui facilite le rejet des plaintes.  Cette interprétation est d’ailleurs compatible avec la déclaration suivante qu’avait faite le ministre des Services gouvernementaux de l’époque, l’honorable U. </w:t>
      </w:r>
      <w:proofErr w:type="spellStart"/>
      <w:r w:rsidRPr="00F60059">
        <w:rPr>
          <w:lang w:val="fr-CA"/>
        </w:rPr>
        <w:t>Dosanjh</w:t>
      </w:r>
      <w:proofErr w:type="spellEnd"/>
      <w:r w:rsidRPr="00F60059">
        <w:rPr>
          <w:lang w:val="fr-CA"/>
        </w:rPr>
        <w:t>, lors de la seconde lecture du</w:t>
      </w:r>
      <w:r w:rsidRPr="00F60059">
        <w:rPr>
          <w:i/>
          <w:lang w:val="fr-CA"/>
        </w:rPr>
        <w:t xml:space="preserve"> </w:t>
      </w:r>
      <w:proofErr w:type="spellStart"/>
      <w:r w:rsidRPr="00F60059">
        <w:rPr>
          <w:i/>
          <w:lang w:val="fr-CA"/>
        </w:rPr>
        <w:t>Human</w:t>
      </w:r>
      <w:proofErr w:type="spellEnd"/>
      <w:r w:rsidRPr="00F60059">
        <w:rPr>
          <w:i/>
          <w:lang w:val="fr-CA"/>
        </w:rPr>
        <w:t xml:space="preserve"> </w:t>
      </w:r>
      <w:proofErr w:type="spellStart"/>
      <w:r w:rsidRPr="00F60059">
        <w:rPr>
          <w:i/>
          <w:lang w:val="fr-CA"/>
        </w:rPr>
        <w:t>Rights</w:t>
      </w:r>
      <w:proofErr w:type="spellEnd"/>
      <w:r w:rsidRPr="00F60059">
        <w:rPr>
          <w:i/>
          <w:lang w:val="fr-CA"/>
        </w:rPr>
        <w:t xml:space="preserve"> </w:t>
      </w:r>
      <w:proofErr w:type="spellStart"/>
      <w:r w:rsidRPr="00F60059">
        <w:rPr>
          <w:i/>
          <w:lang w:val="fr-CA"/>
        </w:rPr>
        <w:t>Amendment</w:t>
      </w:r>
      <w:proofErr w:type="spellEnd"/>
      <w:r w:rsidRPr="00F60059">
        <w:rPr>
          <w:i/>
          <w:lang w:val="fr-CA"/>
        </w:rPr>
        <w:t xml:space="preserve"> </w:t>
      </w:r>
      <w:proofErr w:type="spellStart"/>
      <w:r w:rsidRPr="00F60059">
        <w:rPr>
          <w:i/>
          <w:lang w:val="fr-CA"/>
        </w:rPr>
        <w:t>Act</w:t>
      </w:r>
      <w:proofErr w:type="spellEnd"/>
      <w:r w:rsidRPr="0064272C">
        <w:rPr>
          <w:i/>
          <w:lang w:val="fr-CA"/>
        </w:rPr>
        <w:t>, 1995</w:t>
      </w:r>
      <w:r w:rsidRPr="00F60059">
        <w:rPr>
          <w:lang w:val="fr-CA"/>
        </w:rPr>
        <w:t xml:space="preserve">, S.B.C. 1995, ch. 42, qui comprenait le par. 22(1), devenu par la suite le par. 27(1), dont le libellé était pratiquement le </w:t>
      </w:r>
      <w:r w:rsidRPr="00F60059">
        <w:rPr>
          <w:lang w:val="fr-CA"/>
        </w:rPr>
        <w:lastRenderedPageBreak/>
        <w:t xml:space="preserve">même que celui de la disposition antérieure.  Bien qu’il n’ait pas fait référence spécifiquement à chaque alinéa du par. 22(1) ou à leurs objets distincts, il est manifeste que l’objectif primordial en présentant l’ensemble législatif en question qui comprenait ces dispositions, consistait à réduire un arriéré considérable et à garantir la mise en place </w:t>
      </w:r>
      <w:proofErr w:type="gramStart"/>
      <w:r w:rsidRPr="00F60059">
        <w:rPr>
          <w:lang w:val="fr-CA"/>
        </w:rPr>
        <w:t>d’</w:t>
      </w:r>
      <w:r w:rsidR="0076394D" w:rsidRPr="00F60059">
        <w:rPr>
          <w:lang w:val="fr-CA"/>
        </w:rPr>
        <w:t>[</w:t>
      </w:r>
      <w:proofErr w:type="gramEnd"/>
      <w:r w:rsidR="0076394D" w:rsidRPr="00F60059">
        <w:rPr>
          <w:smallCaps/>
          <w:lang w:val="fr-CA"/>
        </w:rPr>
        <w:t>traduction</w:t>
      </w:r>
      <w:r w:rsidR="0076394D" w:rsidRPr="00F60059">
        <w:rPr>
          <w:lang w:val="fr-CA"/>
        </w:rPr>
        <w:t xml:space="preserve">] </w:t>
      </w:r>
      <w:r w:rsidRPr="00F60059">
        <w:rPr>
          <w:lang w:val="fr-CA"/>
        </w:rPr>
        <w:t>« un système [. . .] qui</w:t>
      </w:r>
      <w:r w:rsidR="00B8202E" w:rsidRPr="00F60059">
        <w:rPr>
          <w:lang w:val="fr-CA"/>
        </w:rPr>
        <w:t xml:space="preserve"> sera efficace et simplifié » :</w:t>
      </w:r>
      <w:r w:rsidRPr="00F60059">
        <w:rPr>
          <w:lang w:val="fr-CA"/>
        </w:rPr>
        <w:t xml:space="preserve"> </w:t>
      </w:r>
    </w:p>
    <w:p w:rsidR="00E208A8" w:rsidRPr="00F60059" w:rsidRDefault="00E208A8" w:rsidP="00B8202E">
      <w:pPr>
        <w:pStyle w:val="Citation-AltC"/>
        <w:tabs>
          <w:tab w:val="left" w:pos="1170"/>
        </w:tabs>
        <w:spacing w:after="240"/>
        <w:ind w:left="1170" w:hanging="1267"/>
        <w:rPr>
          <w:lang w:val="fr-CA"/>
        </w:rPr>
      </w:pPr>
      <w:r w:rsidRPr="00F60059">
        <w:rPr>
          <w:lang w:val="fr-CA"/>
        </w:rPr>
        <w:tab/>
      </w:r>
      <w:r w:rsidR="0076394D" w:rsidRPr="00F60059">
        <w:rPr>
          <w:lang w:val="fr-CA"/>
        </w:rPr>
        <w:t>[</w:t>
      </w:r>
      <w:r w:rsidR="0076394D" w:rsidRPr="00F60059">
        <w:rPr>
          <w:smallCaps/>
          <w:lang w:val="fr-CA"/>
        </w:rPr>
        <w:t>traduction</w:t>
      </w:r>
      <w:r w:rsidR="0076394D" w:rsidRPr="00F60059">
        <w:rPr>
          <w:lang w:val="fr-CA"/>
        </w:rPr>
        <w:t xml:space="preserve">] </w:t>
      </w:r>
      <w:r w:rsidRPr="00F60059">
        <w:rPr>
          <w:lang w:val="fr-CA"/>
        </w:rPr>
        <w:t xml:space="preserve">Selon ce </w:t>
      </w:r>
      <w:r w:rsidRPr="006D259A">
        <w:rPr>
          <w:szCs w:val="20"/>
          <w:lang w:val="fr-CA"/>
        </w:rPr>
        <w:t>projet</w:t>
      </w:r>
      <w:r w:rsidRPr="00F60059">
        <w:rPr>
          <w:lang w:val="fr-CA"/>
        </w:rPr>
        <w:t xml:space="preserve"> de loi, vous aurez dorénavant le pouvoir de reporter l’examen d’une plainte jusqu’à l’issue d’une autre instance, de manière à éviter les chevauchements inutiles de procédures</w:t>
      </w:r>
      <w:r w:rsidR="0076394D" w:rsidRPr="00F60059">
        <w:rPr>
          <w:lang w:val="fr-CA"/>
        </w:rPr>
        <w:t xml:space="preserve">. </w:t>
      </w:r>
    </w:p>
    <w:p w:rsidR="00E208A8" w:rsidRPr="00F60059" w:rsidRDefault="00E208A8" w:rsidP="00E208A8">
      <w:pPr>
        <w:pStyle w:val="Citation-AltC"/>
        <w:spacing w:after="240"/>
        <w:ind w:hanging="1166"/>
        <w:jc w:val="center"/>
        <w:rPr>
          <w:lang w:val="fr-CA"/>
        </w:rPr>
      </w:pPr>
      <w:r w:rsidRPr="00F60059">
        <w:rPr>
          <w:lang w:val="fr-CA"/>
        </w:rPr>
        <w:t>. . .</w:t>
      </w:r>
    </w:p>
    <w:p w:rsidR="00E208A8" w:rsidRPr="00F60059" w:rsidRDefault="00E208A8" w:rsidP="00B8202E">
      <w:pPr>
        <w:pStyle w:val="Citation-AltC"/>
        <w:tabs>
          <w:tab w:val="left" w:pos="1170"/>
        </w:tabs>
        <w:spacing w:after="240"/>
        <w:ind w:left="1170" w:hanging="1267"/>
        <w:rPr>
          <w:lang w:val="en-US"/>
        </w:rPr>
      </w:pPr>
      <w:r w:rsidRPr="00F60059">
        <w:rPr>
          <w:lang w:val="fr-CA"/>
        </w:rPr>
        <w:tab/>
        <w:t xml:space="preserve">Vous </w:t>
      </w:r>
      <w:r w:rsidRPr="006D259A">
        <w:rPr>
          <w:szCs w:val="20"/>
          <w:lang w:val="fr-CA"/>
        </w:rPr>
        <w:t>aurez</w:t>
      </w:r>
      <w:r w:rsidRPr="00F60059">
        <w:rPr>
          <w:lang w:val="fr-CA"/>
        </w:rPr>
        <w:t xml:space="preserve"> </w:t>
      </w:r>
      <w:r w:rsidRPr="00F60059">
        <w:rPr>
          <w:u w:val="single"/>
          <w:lang w:val="fr-CA"/>
        </w:rPr>
        <w:t>le pouvoir de rejeter les plaintes, comme je l’ai mentionné, et ce pouvoir a été étendu</w:t>
      </w:r>
      <w:r w:rsidRPr="00F60059">
        <w:rPr>
          <w:lang w:val="fr-CA"/>
        </w:rPr>
        <w:t xml:space="preserve">.  </w:t>
      </w:r>
      <w:proofErr w:type="gramStart"/>
      <w:r w:rsidRPr="00F60059">
        <w:rPr>
          <w:lang w:val="en-US"/>
        </w:rPr>
        <w:t xml:space="preserve">[Je </w:t>
      </w:r>
      <w:proofErr w:type="spellStart"/>
      <w:r w:rsidRPr="00F60059">
        <w:rPr>
          <w:lang w:val="en-US"/>
        </w:rPr>
        <w:t>souligne</w:t>
      </w:r>
      <w:proofErr w:type="spellEnd"/>
      <w:r w:rsidRPr="00F60059">
        <w:rPr>
          <w:lang w:val="en-US"/>
        </w:rPr>
        <w:t>.]</w:t>
      </w:r>
      <w:proofErr w:type="gramEnd"/>
    </w:p>
    <w:p w:rsidR="00E208A8" w:rsidRPr="00F60059" w:rsidRDefault="00E208A8" w:rsidP="00B8202E">
      <w:pPr>
        <w:pStyle w:val="Citation-AltC"/>
        <w:tabs>
          <w:tab w:val="left" w:pos="1170"/>
        </w:tabs>
        <w:ind w:hanging="1267"/>
        <w:rPr>
          <w:lang w:val="en-US"/>
        </w:rPr>
      </w:pPr>
      <w:r w:rsidRPr="00F60059">
        <w:rPr>
          <w:lang w:val="en-US"/>
        </w:rPr>
        <w:tab/>
        <w:t>(</w:t>
      </w:r>
      <w:proofErr w:type="spellStart"/>
      <w:r w:rsidRPr="00F60059">
        <w:rPr>
          <w:lang w:val="en-US"/>
        </w:rPr>
        <w:t>Colombie</w:t>
      </w:r>
      <w:proofErr w:type="spellEnd"/>
      <w:r w:rsidRPr="00F60059">
        <w:rPr>
          <w:lang w:val="en-US"/>
        </w:rPr>
        <w:noBreakHyphen/>
      </w:r>
      <w:proofErr w:type="spellStart"/>
      <w:r w:rsidRPr="00F60059">
        <w:rPr>
          <w:szCs w:val="20"/>
        </w:rPr>
        <w:t>Britannique</w:t>
      </w:r>
      <w:proofErr w:type="spellEnd"/>
      <w:r w:rsidRPr="00F60059">
        <w:rPr>
          <w:lang w:val="en-US"/>
        </w:rPr>
        <w:t xml:space="preserve">, </w:t>
      </w:r>
      <w:r w:rsidR="0076394D" w:rsidRPr="00F60059">
        <w:rPr>
          <w:i/>
          <w:lang w:val="en-US"/>
        </w:rPr>
        <w:t>Official Report of Debates of the Legislative Assembly</w:t>
      </w:r>
      <w:r w:rsidRPr="00F60059">
        <w:rPr>
          <w:i/>
          <w:lang w:val="en-US"/>
        </w:rPr>
        <w:t xml:space="preserve"> (</w:t>
      </w:r>
      <w:proofErr w:type="spellStart"/>
      <w:r w:rsidRPr="00F60059">
        <w:rPr>
          <w:i/>
          <w:lang w:val="en-US"/>
        </w:rPr>
        <w:t>Hansard</w:t>
      </w:r>
      <w:proofErr w:type="spellEnd"/>
      <w:r w:rsidRPr="00F60059">
        <w:rPr>
          <w:i/>
          <w:lang w:val="en-US"/>
        </w:rPr>
        <w:t>)</w:t>
      </w:r>
      <w:r w:rsidRPr="00F60059">
        <w:rPr>
          <w:lang w:val="en-US"/>
        </w:rPr>
        <w:t>, vol. 21, 4</w:t>
      </w:r>
      <w:r w:rsidRPr="00F60059">
        <w:rPr>
          <w:vertAlign w:val="superscript"/>
          <w:lang w:val="en-US"/>
        </w:rPr>
        <w:t>e</w:t>
      </w:r>
      <w:r w:rsidRPr="00F60059">
        <w:rPr>
          <w:lang w:val="en-US"/>
        </w:rPr>
        <w:t xml:space="preserve"> sess</w:t>
      </w:r>
      <w:r w:rsidR="0076394D" w:rsidRPr="00F60059">
        <w:rPr>
          <w:lang w:val="en-US"/>
        </w:rPr>
        <w:t>.</w:t>
      </w:r>
      <w:r w:rsidRPr="00F60059">
        <w:rPr>
          <w:lang w:val="en-US"/>
        </w:rPr>
        <w:t>, 35</w:t>
      </w:r>
      <w:r w:rsidRPr="00F60059">
        <w:rPr>
          <w:vertAlign w:val="superscript"/>
          <w:lang w:val="en-US"/>
        </w:rPr>
        <w:t>e</w:t>
      </w:r>
      <w:r w:rsidR="00843757" w:rsidRPr="00F60059">
        <w:rPr>
          <w:lang w:val="en-US"/>
        </w:rPr>
        <w:t xml:space="preserve"> </w:t>
      </w:r>
      <w:proofErr w:type="spellStart"/>
      <w:r w:rsidR="00843757" w:rsidRPr="00F60059">
        <w:rPr>
          <w:lang w:val="en-US"/>
        </w:rPr>
        <w:t>l</w:t>
      </w:r>
      <w:r w:rsidR="0076394D" w:rsidRPr="00F60059">
        <w:rPr>
          <w:lang w:val="en-US"/>
        </w:rPr>
        <w:t>ég</w:t>
      </w:r>
      <w:proofErr w:type="spellEnd"/>
      <w:r w:rsidR="0076394D" w:rsidRPr="00F60059">
        <w:rPr>
          <w:lang w:val="en-US"/>
        </w:rPr>
        <w:t>., 22 </w:t>
      </w:r>
      <w:proofErr w:type="spellStart"/>
      <w:r w:rsidR="0076394D" w:rsidRPr="00F60059">
        <w:rPr>
          <w:lang w:val="en-US"/>
        </w:rPr>
        <w:t>juin</w:t>
      </w:r>
      <w:proofErr w:type="spellEnd"/>
      <w:r w:rsidR="0076394D" w:rsidRPr="00F60059">
        <w:rPr>
          <w:lang w:val="en-US"/>
        </w:rPr>
        <w:t xml:space="preserve"> 1995, p. 16062</w:t>
      </w:r>
      <w:r w:rsidRPr="00F60059">
        <w:rPr>
          <w:lang w:val="en-US"/>
        </w:rPr>
        <w:t xml:space="preserve">) </w:t>
      </w:r>
    </w:p>
    <w:p w:rsidR="00E208A8" w:rsidRPr="00F60059" w:rsidRDefault="00E208A8" w:rsidP="00E208A8">
      <w:pPr>
        <w:pStyle w:val="ParaNoNdepar-AltN"/>
        <w:rPr>
          <w:lang w:val="fr-CA"/>
        </w:rPr>
      </w:pPr>
      <w:r w:rsidRPr="00F60059">
        <w:rPr>
          <w:lang w:val="fr-CA"/>
        </w:rPr>
        <w:t xml:space="preserve">Cela nous amène à nous pencher sur l’utilisation par le Tribunal des facteurs énoncés dans </w:t>
      </w:r>
      <w:proofErr w:type="spellStart"/>
      <w:r w:rsidRPr="00F60059">
        <w:rPr>
          <w:i/>
          <w:lang w:val="fr-CA"/>
        </w:rPr>
        <w:t>Danyluk</w:t>
      </w:r>
      <w:proofErr w:type="spellEnd"/>
      <w:r w:rsidRPr="00F60059">
        <w:rPr>
          <w:lang w:val="fr-CA"/>
        </w:rPr>
        <w:t xml:space="preserve">.  Non seulement </w:t>
      </w:r>
      <w:proofErr w:type="spellStart"/>
      <w:r w:rsidRPr="00F60059">
        <w:rPr>
          <w:lang w:val="fr-CA"/>
        </w:rPr>
        <w:t>suis</w:t>
      </w:r>
      <w:r w:rsidRPr="00F60059">
        <w:rPr>
          <w:lang w:val="fr-CA"/>
        </w:rPr>
        <w:noBreakHyphen/>
        <w:t>je</w:t>
      </w:r>
      <w:proofErr w:type="spellEnd"/>
      <w:r w:rsidRPr="00F60059">
        <w:rPr>
          <w:lang w:val="fr-CA"/>
        </w:rPr>
        <w:t xml:space="preserve"> réticente à réintroduire au moyen d’une ordonnance judiciaire les types de facteurs que le législateur a expressément retranchés, mais il ne me semble pas évident qu’il faille même appliquer les critères élaborés dans </w:t>
      </w:r>
      <w:proofErr w:type="spellStart"/>
      <w:r w:rsidRPr="00F60059">
        <w:rPr>
          <w:i/>
          <w:lang w:val="fr-CA"/>
        </w:rPr>
        <w:t>Danyluk</w:t>
      </w:r>
      <w:proofErr w:type="spellEnd"/>
      <w:r w:rsidRPr="00F60059">
        <w:rPr>
          <w:lang w:val="fr-CA"/>
        </w:rPr>
        <w:t xml:space="preserve">.  Ces  critères ont été élaborés pour aider les tribunaux à appliquer la doctrine de la </w:t>
      </w:r>
      <w:proofErr w:type="spellStart"/>
      <w:r w:rsidRPr="00F60059">
        <w:rPr>
          <w:lang w:val="fr-CA"/>
        </w:rPr>
        <w:t>préclusion</w:t>
      </w:r>
      <w:proofErr w:type="spellEnd"/>
      <w:r w:rsidRPr="00F60059">
        <w:rPr>
          <w:lang w:val="fr-CA"/>
        </w:rPr>
        <w:t xml:space="preserve"> découlant d’une question déjà tranchée</w:t>
      </w:r>
      <w:r w:rsidR="00E27EBA">
        <w:rPr>
          <w:lang w:val="fr-CA"/>
        </w:rPr>
        <w:t>.  Or, la portée de l’al. 27(1)</w:t>
      </w:r>
      <w:r w:rsidRPr="00F60059">
        <w:rPr>
          <w:lang w:val="fr-CA"/>
        </w:rPr>
        <w:t xml:space="preserve">f) ne se limite pas à la question de la </w:t>
      </w:r>
      <w:proofErr w:type="spellStart"/>
      <w:r w:rsidRPr="00F60059">
        <w:rPr>
          <w:lang w:val="fr-CA"/>
        </w:rPr>
        <w:t>préclusion</w:t>
      </w:r>
      <w:proofErr w:type="spellEnd"/>
      <w:r w:rsidRPr="00F60059">
        <w:rPr>
          <w:lang w:val="fr-CA"/>
        </w:rPr>
        <w:t xml:space="preserve"> découlant d’une question déjà tranchée.  Comme l’a expliqué le juge </w:t>
      </w:r>
      <w:proofErr w:type="spellStart"/>
      <w:r w:rsidRPr="00F60059">
        <w:rPr>
          <w:lang w:val="fr-CA"/>
        </w:rPr>
        <w:t>Pitfield</w:t>
      </w:r>
      <w:proofErr w:type="spellEnd"/>
      <w:r w:rsidRPr="00F60059">
        <w:rPr>
          <w:lang w:val="fr-CA"/>
        </w:rPr>
        <w:t xml:space="preserve"> dans </w:t>
      </w:r>
      <w:proofErr w:type="spellStart"/>
      <w:r w:rsidRPr="00F60059">
        <w:rPr>
          <w:i/>
          <w:lang w:val="fr-CA"/>
        </w:rPr>
        <w:t>Matuszewski</w:t>
      </w:r>
      <w:proofErr w:type="spellEnd"/>
      <w:r w:rsidR="00E27EBA">
        <w:rPr>
          <w:lang w:val="fr-CA"/>
        </w:rPr>
        <w:t>, l’al. 27(1)</w:t>
      </w:r>
      <w:r w:rsidRPr="00F60059">
        <w:rPr>
          <w:lang w:val="fr-CA"/>
        </w:rPr>
        <w:t xml:space="preserve">f) ne commande pas l’application technique de l’une ou l’autre des doctrines de </w:t>
      </w:r>
      <w:proofErr w:type="spellStart"/>
      <w:r w:rsidRPr="00F60059">
        <w:rPr>
          <w:lang w:val="fr-CA"/>
        </w:rPr>
        <w:t>common</w:t>
      </w:r>
      <w:proofErr w:type="spellEnd"/>
      <w:r w:rsidRPr="00F60059">
        <w:rPr>
          <w:lang w:val="fr-CA"/>
        </w:rPr>
        <w:t xml:space="preserve"> </w:t>
      </w:r>
      <w:proofErr w:type="spellStart"/>
      <w:r w:rsidRPr="00F60059">
        <w:rPr>
          <w:lang w:val="fr-CA"/>
        </w:rPr>
        <w:t>law</w:t>
      </w:r>
      <w:proofErr w:type="spellEnd"/>
      <w:r w:rsidRPr="00F60059">
        <w:rPr>
          <w:lang w:val="fr-CA"/>
        </w:rPr>
        <w:t xml:space="preserve"> — la </w:t>
      </w:r>
      <w:proofErr w:type="spellStart"/>
      <w:r w:rsidRPr="00F60059">
        <w:rPr>
          <w:lang w:val="fr-CA"/>
        </w:rPr>
        <w:t>préclusion</w:t>
      </w:r>
      <w:proofErr w:type="spellEnd"/>
      <w:r w:rsidRPr="00F60059">
        <w:rPr>
          <w:lang w:val="fr-CA"/>
        </w:rPr>
        <w:t xml:space="preserve"> découlant d’une question déjà </w:t>
      </w:r>
      <w:r w:rsidRPr="00F60059">
        <w:rPr>
          <w:lang w:val="fr-CA"/>
        </w:rPr>
        <w:lastRenderedPageBreak/>
        <w:t xml:space="preserve">tranchée, la contestation indirecte ou l’abus de procédure — il invite plutôt à adopter une approche qui combine les principes applicables à ces doctrines.  D’ailleurs, il convient de le souligner, ni la juge </w:t>
      </w:r>
      <w:proofErr w:type="spellStart"/>
      <w:r w:rsidRPr="00F60059">
        <w:rPr>
          <w:lang w:val="fr-CA"/>
        </w:rPr>
        <w:t>Stromberg</w:t>
      </w:r>
      <w:r w:rsidRPr="00F60059">
        <w:rPr>
          <w:lang w:val="fr-CA"/>
        </w:rPr>
        <w:noBreakHyphen/>
        <w:t>Stein</w:t>
      </w:r>
      <w:proofErr w:type="spellEnd"/>
      <w:r w:rsidRPr="00F60059">
        <w:rPr>
          <w:lang w:val="fr-CA"/>
        </w:rPr>
        <w:t xml:space="preserve"> ni la Cour d’appel n’ont fait référence aux critères de </w:t>
      </w:r>
      <w:proofErr w:type="spellStart"/>
      <w:r w:rsidRPr="00F60059">
        <w:rPr>
          <w:i/>
          <w:lang w:val="fr-CA"/>
        </w:rPr>
        <w:t>Danyluk</w:t>
      </w:r>
      <w:proofErr w:type="spellEnd"/>
      <w:r w:rsidRPr="00F60059">
        <w:rPr>
          <w:lang w:val="fr-CA"/>
        </w:rPr>
        <w:t xml:space="preserve"> dans leur analyse respective.</w:t>
      </w:r>
    </w:p>
    <w:p w:rsidR="00E208A8" w:rsidRPr="00F60059" w:rsidRDefault="00E208A8" w:rsidP="00E208A8">
      <w:pPr>
        <w:pStyle w:val="ParaNoNdepar-AltN"/>
        <w:rPr>
          <w:lang w:val="fr-CA"/>
        </w:rPr>
      </w:pPr>
      <w:r w:rsidRPr="00F60059">
        <w:rPr>
          <w:lang w:val="fr-CA"/>
        </w:rPr>
        <w:t xml:space="preserve">En outre, si les critères de </w:t>
      </w:r>
      <w:proofErr w:type="spellStart"/>
      <w:r w:rsidRPr="00F60059">
        <w:rPr>
          <w:i/>
          <w:lang w:val="fr-CA"/>
        </w:rPr>
        <w:t>Danyluk</w:t>
      </w:r>
      <w:proofErr w:type="spellEnd"/>
      <w:r w:rsidRPr="00F60059">
        <w:rPr>
          <w:lang w:val="fr-CA"/>
        </w:rPr>
        <w:t xml:space="preserve"> ét</w:t>
      </w:r>
      <w:r w:rsidR="00E27EBA">
        <w:rPr>
          <w:lang w:val="fr-CA"/>
        </w:rPr>
        <w:t>aient importés dans l’al. 27(1)</w:t>
      </w:r>
      <w:r w:rsidRPr="00F60059">
        <w:rPr>
          <w:lang w:val="fr-CA"/>
        </w:rPr>
        <w:t xml:space="preserve">f), cela contrecarrerait ce que la Cour a prescrit dans </w:t>
      </w:r>
      <w:proofErr w:type="spellStart"/>
      <w:r w:rsidRPr="00F60059">
        <w:rPr>
          <w:i/>
          <w:lang w:val="fr-CA"/>
        </w:rPr>
        <w:t>Tranchemontagne</w:t>
      </w:r>
      <w:proofErr w:type="spellEnd"/>
      <w:r w:rsidRPr="00F60059">
        <w:rPr>
          <w:lang w:val="fr-CA"/>
        </w:rPr>
        <w:t xml:space="preserve"> lorsqu’elle a indiqué que, en l’absence d’une disposition expresse à l’effet contraire, tous les tribunaux administratifs ont une compétence concurrente en matière d’application des mesures législatives relatives aux droits de la personne.  Cela signifie qu’il doit être présumé qu’il a été satisfait aux critères énoncés dans </w:t>
      </w:r>
      <w:proofErr w:type="spellStart"/>
      <w:r w:rsidRPr="00F60059">
        <w:rPr>
          <w:i/>
          <w:lang w:val="fr-CA"/>
        </w:rPr>
        <w:t>Danyluk</w:t>
      </w:r>
      <w:proofErr w:type="spellEnd"/>
      <w:r w:rsidRPr="00F60059">
        <w:rPr>
          <w:lang w:val="fr-CA"/>
        </w:rPr>
        <w:t xml:space="preserve"> tel celui quant au mandat et à l’expertise du décideur dans l’instance antérieure.  Encourager le Tribunal à appliquer malgré tout une approche fondée sur une comparaison des mandats et de l’expertise éroderait la conclusion du juge </w:t>
      </w:r>
      <w:proofErr w:type="spellStart"/>
      <w:r w:rsidRPr="00F60059">
        <w:rPr>
          <w:lang w:val="fr-CA"/>
        </w:rPr>
        <w:t>Bastarache</w:t>
      </w:r>
      <w:proofErr w:type="spellEnd"/>
      <w:r w:rsidRPr="00F60059">
        <w:rPr>
          <w:lang w:val="fr-CA"/>
        </w:rPr>
        <w:t xml:space="preserve"> selon laquelle les tribunaux des droits de la personne ne sont pas les seuls « gardien[s] des lois relatives aux droits de la personne » (</w:t>
      </w:r>
      <w:proofErr w:type="spellStart"/>
      <w:r w:rsidR="0076394D" w:rsidRPr="00F60059">
        <w:rPr>
          <w:i/>
          <w:lang w:val="fr-CA"/>
        </w:rPr>
        <w:t>Tranchemontagne</w:t>
      </w:r>
      <w:proofErr w:type="spellEnd"/>
      <w:r w:rsidR="0076394D" w:rsidRPr="00F60059">
        <w:rPr>
          <w:lang w:val="fr-CA"/>
        </w:rPr>
        <w:t xml:space="preserve">, </w:t>
      </w:r>
      <w:r w:rsidRPr="00F60059">
        <w:rPr>
          <w:lang w:val="fr-CA"/>
        </w:rPr>
        <w:t xml:space="preserve">par. 39). </w:t>
      </w:r>
    </w:p>
    <w:p w:rsidR="00E208A8" w:rsidRPr="00F60059" w:rsidRDefault="00E208A8" w:rsidP="00E208A8">
      <w:pPr>
        <w:pStyle w:val="ParaNoNdepar-AltN"/>
        <w:rPr>
          <w:lang w:val="fr-CA"/>
        </w:rPr>
      </w:pPr>
      <w:r w:rsidRPr="00F60059">
        <w:rPr>
          <w:lang w:val="fr-CA"/>
        </w:rPr>
        <w:t>Cela nous amène à l’examen de l’exercice de son pouvoir discrétionnaire par le Tribunal en l’espèce. Par</w:t>
      </w:r>
      <w:r w:rsidR="00E27EBA">
        <w:rPr>
          <w:lang w:val="fr-CA"/>
        </w:rPr>
        <w:t>ce que je vois dans l’al. 27(1)</w:t>
      </w:r>
      <w:r w:rsidRPr="00F60059">
        <w:rPr>
          <w:lang w:val="fr-CA"/>
        </w:rPr>
        <w:t xml:space="preserve">f) l’expression des principes fondant les doctrines de </w:t>
      </w:r>
      <w:proofErr w:type="spellStart"/>
      <w:r w:rsidRPr="00F60059">
        <w:rPr>
          <w:lang w:val="fr-CA"/>
        </w:rPr>
        <w:t>common</w:t>
      </w:r>
      <w:proofErr w:type="spellEnd"/>
      <w:r w:rsidRPr="00F60059">
        <w:rPr>
          <w:lang w:val="fr-CA"/>
        </w:rPr>
        <w:t xml:space="preserve"> </w:t>
      </w:r>
      <w:proofErr w:type="spellStart"/>
      <w:r w:rsidRPr="00F60059">
        <w:rPr>
          <w:lang w:val="fr-CA"/>
        </w:rPr>
        <w:t>law</w:t>
      </w:r>
      <w:proofErr w:type="spellEnd"/>
      <w:r w:rsidRPr="00F60059">
        <w:rPr>
          <w:lang w:val="fr-CA"/>
        </w:rPr>
        <w:t xml:space="preserve"> plutôt qu’une codification de leurs éléments techniques, je conclus qu’en s’en tenant à l’application stricte de la </w:t>
      </w:r>
      <w:proofErr w:type="spellStart"/>
      <w:r w:rsidRPr="00F60059">
        <w:rPr>
          <w:lang w:val="fr-CA"/>
        </w:rPr>
        <w:t>préclusion</w:t>
      </w:r>
      <w:proofErr w:type="spellEnd"/>
      <w:r w:rsidRPr="00F60059">
        <w:rPr>
          <w:lang w:val="fr-CA"/>
        </w:rPr>
        <w:t xml:space="preserve"> découlant d’une question déjà tranchée</w:t>
      </w:r>
      <w:r w:rsidR="0076394D" w:rsidRPr="00F60059">
        <w:rPr>
          <w:lang w:val="fr-CA"/>
        </w:rPr>
        <w:t>,</w:t>
      </w:r>
      <w:r w:rsidRPr="00F60059">
        <w:rPr>
          <w:lang w:val="fr-CA"/>
        </w:rPr>
        <w:t xml:space="preserve"> le Tribunal a donné une interprétation trop formaliste à la disposition et, plus particulièrement, aux mots </w:t>
      </w:r>
      <w:r w:rsidRPr="00F60059">
        <w:rPr>
          <w:lang w:val="fr-CA"/>
        </w:rPr>
        <w:lastRenderedPageBreak/>
        <w:t>[</w:t>
      </w:r>
      <w:r w:rsidRPr="00F60059">
        <w:rPr>
          <w:smallCaps/>
          <w:lang w:val="fr-CA"/>
        </w:rPr>
        <w:t>traduction</w:t>
      </w:r>
      <w:r w:rsidRPr="00F60059">
        <w:rPr>
          <w:lang w:val="fr-CA"/>
        </w:rPr>
        <w:t xml:space="preserve">] « a été statué de façon appropriée ».  Selon moi, plutôt que de donner effet à l’objectif de prévention des remises en cause inutiles, une telle interprétation y fait obstacle.  En accédant à la demande des plaignants de reprendre l’examen de la même question relative à l’art. 8, le Tribunal n’a pas tenu compte de la mise en garde donnée par la juge </w:t>
      </w:r>
      <w:proofErr w:type="spellStart"/>
      <w:r w:rsidRPr="00F60059">
        <w:rPr>
          <w:lang w:val="fr-CA"/>
        </w:rPr>
        <w:t>Arbour</w:t>
      </w:r>
      <w:proofErr w:type="spellEnd"/>
      <w:r w:rsidRPr="00F60059">
        <w:rPr>
          <w:lang w:val="fr-CA"/>
        </w:rPr>
        <w:t xml:space="preserve"> dans </w:t>
      </w:r>
      <w:r w:rsidRPr="00F60059">
        <w:rPr>
          <w:i/>
          <w:iCs/>
          <w:lang w:val="fr-CA"/>
        </w:rPr>
        <w:t>Toronto (</w:t>
      </w:r>
      <w:r w:rsidRPr="00F60059">
        <w:rPr>
          <w:i/>
          <w:lang w:val="fr-CA"/>
        </w:rPr>
        <w:t>Ville)</w:t>
      </w:r>
      <w:r w:rsidRPr="00F60059">
        <w:rPr>
          <w:lang w:val="fr-CA"/>
        </w:rPr>
        <w:t>,</w:t>
      </w:r>
      <w:r w:rsidRPr="00F60059">
        <w:rPr>
          <w:i/>
          <w:iCs/>
          <w:lang w:val="fr-CA"/>
        </w:rPr>
        <w:t xml:space="preserve"> </w:t>
      </w:r>
      <w:r w:rsidRPr="00F60059">
        <w:rPr>
          <w:lang w:val="fr-CA"/>
        </w:rPr>
        <w:t xml:space="preserve">qu’il « n’est pas permis [. . .] d’attaquer un jugement en tentant de soulever de nouveau la question devant un autre forum » (par. 46).  </w:t>
      </w:r>
    </w:p>
    <w:p w:rsidR="00E208A8" w:rsidRPr="00F60059" w:rsidRDefault="00E208A8" w:rsidP="00E208A8">
      <w:pPr>
        <w:pStyle w:val="ParaNoNdepar-AltN"/>
        <w:rPr>
          <w:lang w:val="fr-CA"/>
        </w:rPr>
      </w:pPr>
      <w:r w:rsidRPr="00F60059">
        <w:rPr>
          <w:lang w:val="fr-CA"/>
        </w:rPr>
        <w:t xml:space="preserve">En l’espèce, les plaignants cherchaient précisément à « soulever de nouveau la question devant un autre forum ».  Plutôt que d’emprunter la voie du contrôle judiciaire, qui leur était ouverte, pour contester la décision de l’agent de révision, ils ont engagé une nouvelle instance devant un autre tribunal administratif dans l’espoir d’obtenir un résultat plus favorable.  Comme la juge </w:t>
      </w:r>
      <w:proofErr w:type="spellStart"/>
      <w:r w:rsidRPr="00F60059">
        <w:rPr>
          <w:lang w:val="fr-CA"/>
        </w:rPr>
        <w:t>Stromberg</w:t>
      </w:r>
      <w:r w:rsidRPr="00F60059">
        <w:rPr>
          <w:lang w:val="fr-CA"/>
        </w:rPr>
        <w:noBreakHyphen/>
        <w:t>Stein</w:t>
      </w:r>
      <w:proofErr w:type="spellEnd"/>
      <w:r w:rsidRPr="00F60059">
        <w:rPr>
          <w:lang w:val="fr-CA"/>
        </w:rPr>
        <w:t xml:space="preserve"> l’a indiqué, cette stratégie constituait un [</w:t>
      </w:r>
      <w:r w:rsidRPr="00F60059">
        <w:rPr>
          <w:smallCaps/>
          <w:lang w:val="fr-CA"/>
        </w:rPr>
        <w:t>traduction</w:t>
      </w:r>
      <w:r w:rsidRPr="00F60059">
        <w:rPr>
          <w:lang w:val="fr-CA"/>
        </w:rPr>
        <w:t>] « appel indirect » (par. 52</w:t>
      </w:r>
      <w:r w:rsidR="00895D44">
        <w:rPr>
          <w:lang w:val="fr-CA"/>
        </w:rPr>
        <w:t>), une démarche que l’al. 27(1)</w:t>
      </w:r>
      <w:r w:rsidRPr="00F60059">
        <w:rPr>
          <w:lang w:val="fr-CA"/>
        </w:rPr>
        <w:t xml:space="preserve">f) et les doctrines de </w:t>
      </w:r>
      <w:proofErr w:type="spellStart"/>
      <w:r w:rsidRPr="00F60059">
        <w:rPr>
          <w:lang w:val="fr-CA"/>
        </w:rPr>
        <w:t>common</w:t>
      </w:r>
      <w:proofErr w:type="spellEnd"/>
      <w:r w:rsidRPr="00F60059">
        <w:rPr>
          <w:lang w:val="fr-CA"/>
        </w:rPr>
        <w:t xml:space="preserve"> </w:t>
      </w:r>
      <w:proofErr w:type="spellStart"/>
      <w:r w:rsidRPr="00F60059">
        <w:rPr>
          <w:lang w:val="fr-CA"/>
        </w:rPr>
        <w:t>law</w:t>
      </w:r>
      <w:proofErr w:type="spellEnd"/>
      <w:r w:rsidRPr="00F60059">
        <w:rPr>
          <w:lang w:val="fr-CA"/>
        </w:rPr>
        <w:t xml:space="preserve"> visent précisément à éviter :</w:t>
      </w:r>
    </w:p>
    <w:p w:rsidR="00E208A8" w:rsidRPr="00F60059" w:rsidRDefault="00E208A8" w:rsidP="00B8202E">
      <w:pPr>
        <w:pStyle w:val="Citation-AltC"/>
        <w:keepNext/>
        <w:ind w:hanging="1166"/>
        <w:rPr>
          <w:lang w:val="fr-CA"/>
        </w:rPr>
      </w:pPr>
      <w:r w:rsidRPr="00F60059">
        <w:rPr>
          <w:lang w:val="fr-CA"/>
        </w:rPr>
        <w:tab/>
      </w:r>
      <w:r w:rsidR="0076394D" w:rsidRPr="00F60059">
        <w:rPr>
          <w:lang w:val="fr-CA"/>
        </w:rPr>
        <w:t>[</w:t>
      </w:r>
      <w:r w:rsidR="0076394D" w:rsidRPr="00F60059">
        <w:rPr>
          <w:smallCaps/>
          <w:lang w:val="fr-CA"/>
        </w:rPr>
        <w:t>traduction</w:t>
      </w:r>
      <w:proofErr w:type="gramStart"/>
      <w:r w:rsidR="0076394D" w:rsidRPr="00F60059">
        <w:rPr>
          <w:lang w:val="fr-CA"/>
        </w:rPr>
        <w:t xml:space="preserve">] </w:t>
      </w:r>
      <w:r w:rsidRPr="00F60059">
        <w:rPr>
          <w:lang w:val="fr-CA"/>
        </w:rPr>
        <w:t>.</w:t>
      </w:r>
      <w:proofErr w:type="gramEnd"/>
      <w:r w:rsidRPr="00F60059">
        <w:rPr>
          <w:lang w:val="fr-CA"/>
        </w:rPr>
        <w:t> . . la présente espèce n’est que la tentative des plaignants de rouvrir un débat qui a déjà été tranché de façon définitive en fonction du même fondement factuel et juridique.  Ils cherchent à remettre la même question en cause dans un contexte juridictionnel administratif où le nouveau tribunal saisi n’exerce aucune compétence d’appel à</w:t>
      </w:r>
      <w:r w:rsidR="0076394D" w:rsidRPr="00F60059">
        <w:rPr>
          <w:lang w:val="fr-CA"/>
        </w:rPr>
        <w:t xml:space="preserve"> l’égard du précédent. [</w:t>
      </w:r>
      <w:proofErr w:type="gramStart"/>
      <w:r w:rsidR="0076394D" w:rsidRPr="00F60059">
        <w:rPr>
          <w:lang w:val="fr-CA"/>
        </w:rPr>
        <w:t>par</w:t>
      </w:r>
      <w:proofErr w:type="gramEnd"/>
      <w:r w:rsidR="0076394D" w:rsidRPr="00F60059">
        <w:rPr>
          <w:lang w:val="fr-CA"/>
        </w:rPr>
        <w:t>. 54]</w:t>
      </w:r>
    </w:p>
    <w:p w:rsidR="00E208A8" w:rsidRPr="00F60059" w:rsidRDefault="00E208A8" w:rsidP="00E208A8">
      <w:pPr>
        <w:pStyle w:val="ParaNoNdepar-AltN"/>
        <w:rPr>
          <w:lang w:val="fr-CA"/>
        </w:rPr>
      </w:pPr>
      <w:r w:rsidRPr="00F60059">
        <w:rPr>
          <w:lang w:val="fr-CA"/>
        </w:rPr>
        <w:t xml:space="preserve">L’analyse du Tribunal l’a rendu complice de cette tentative de contester indirectement le </w:t>
      </w:r>
      <w:proofErr w:type="spellStart"/>
      <w:r w:rsidRPr="00F60059">
        <w:rPr>
          <w:lang w:val="fr-CA"/>
        </w:rPr>
        <w:t>bien</w:t>
      </w:r>
      <w:r w:rsidRPr="00F60059">
        <w:rPr>
          <w:lang w:val="fr-CA"/>
        </w:rPr>
        <w:noBreakHyphen/>
        <w:t>fondé</w:t>
      </w:r>
      <w:proofErr w:type="spellEnd"/>
      <w:r w:rsidRPr="00F60059">
        <w:rPr>
          <w:lang w:val="fr-CA"/>
        </w:rPr>
        <w:t xml:space="preserve"> de la décision de la Commission et du processus suivi; on </w:t>
      </w:r>
      <w:r w:rsidRPr="00F60059">
        <w:rPr>
          <w:lang w:val="fr-CA"/>
        </w:rPr>
        <w:lastRenderedPageBreak/>
        <w:t xml:space="preserve">y trouve une myriade de facteurs en fonction desquels le Tribunal s’est demandé s’il était à l’aise avec le processus de l’instance antérieure et avec les motifs de la décision de l’agent de révision. </w:t>
      </w:r>
    </w:p>
    <w:p w:rsidR="00E208A8" w:rsidRPr="00F60059" w:rsidRDefault="00E208A8" w:rsidP="00E208A8">
      <w:pPr>
        <w:pStyle w:val="ParaNoNdepar-AltN"/>
        <w:rPr>
          <w:lang w:val="fr-CA"/>
        </w:rPr>
      </w:pPr>
      <w:r w:rsidRPr="00F60059">
        <w:rPr>
          <w:lang w:val="fr-CA"/>
        </w:rPr>
        <w:t xml:space="preserve">Il s’est d’abord demandé si le processus suivi devant la Section de révision satisfaisait aux exigences procédurales.  Il s’agit là d’une question de contrôle judiciaire classique et non d’une question que se pose un décideur dans l’exercice d’une compétence concurrente.  Certes, le Tribunal peut se demander si les parties ont été informées de ce qui était invoqué contre elles et si elles ont pu y répondre, mais cela ne signifie pas qu’il peut exiger que le processus antérieur soit une réplique de celui qui se déroule devant lui, soit un processus plus complexe.  Quoi qu’il en soit, je souscris à la conclusion de la juge </w:t>
      </w:r>
      <w:proofErr w:type="spellStart"/>
      <w:r w:rsidRPr="00F60059">
        <w:rPr>
          <w:lang w:val="fr-CA"/>
        </w:rPr>
        <w:t>Stromberg</w:t>
      </w:r>
      <w:r w:rsidRPr="00F60059">
        <w:rPr>
          <w:lang w:val="fr-CA"/>
        </w:rPr>
        <w:noBreakHyphen/>
        <w:t>Stein</w:t>
      </w:r>
      <w:proofErr w:type="spellEnd"/>
      <w:r w:rsidRPr="00F60059">
        <w:rPr>
          <w:lang w:val="fr-CA"/>
        </w:rPr>
        <w:t xml:space="preserve"> selon laquelle la capacité des plaignants de connaître les éléments invoqués contre eux et de les réfuter n’était pas en cause :</w:t>
      </w:r>
    </w:p>
    <w:p w:rsidR="00E208A8" w:rsidRPr="00F60059" w:rsidRDefault="00E208A8" w:rsidP="00977E8F">
      <w:pPr>
        <w:pStyle w:val="Citation-AltC"/>
        <w:keepNext/>
        <w:ind w:hanging="1166"/>
        <w:rPr>
          <w:lang w:val="fr-CA"/>
        </w:rPr>
      </w:pPr>
      <w:r w:rsidRPr="00F60059">
        <w:rPr>
          <w:lang w:val="fr-CA"/>
        </w:rPr>
        <w:tab/>
        <w:t>[</w:t>
      </w:r>
      <w:r w:rsidRPr="00F60059">
        <w:rPr>
          <w:smallCaps/>
          <w:lang w:val="fr-CA"/>
        </w:rPr>
        <w:t>traduction</w:t>
      </w:r>
      <w:r w:rsidRPr="00F60059">
        <w:rPr>
          <w:lang w:val="fr-CA"/>
        </w:rPr>
        <w:t>]</w:t>
      </w:r>
      <w:r w:rsidR="003F3671" w:rsidRPr="00F60059">
        <w:rPr>
          <w:lang w:val="fr-CA"/>
        </w:rPr>
        <w:t xml:space="preserve">  </w:t>
      </w:r>
      <w:r w:rsidRPr="00F60059">
        <w:rPr>
          <w:lang w:val="fr-CA"/>
        </w:rPr>
        <w:t xml:space="preserve">Chaque plaignant a pleinement participé à l’instance; chacun savait ce qui était invoqué contre lui et a eu l’occasion d’y répondre.  Chacun d’eux était représenté par un avocat compétent et expérimenté qui a soulevé les questions relatives aux droits de la personne dans le contexte de l’indemnisation des accidents de travail.  La Section de révision a pris ces questions en compte et les a analysées en détail.  Il ressort implicitement de l’argumentation qu’ils ont soumise à la Section de révision qu’ils reconnaissaient que </w:t>
      </w:r>
      <w:proofErr w:type="spellStart"/>
      <w:r w:rsidRPr="00F60059">
        <w:rPr>
          <w:lang w:val="fr-CA"/>
        </w:rPr>
        <w:t>celle</w:t>
      </w:r>
      <w:r w:rsidRPr="00F60059">
        <w:rPr>
          <w:lang w:val="fr-CA"/>
        </w:rPr>
        <w:noBreakHyphen/>
        <w:t>ci</w:t>
      </w:r>
      <w:proofErr w:type="spellEnd"/>
      <w:r w:rsidRPr="00F60059">
        <w:rPr>
          <w:lang w:val="fr-CA"/>
        </w:rPr>
        <w:t xml:space="preserve"> avait entière compétence pour statuer en matière de droits de la personne</w:t>
      </w:r>
      <w:r w:rsidR="003F3671" w:rsidRPr="00F60059">
        <w:rPr>
          <w:lang w:val="fr-CA"/>
        </w:rPr>
        <w:t>.</w:t>
      </w:r>
      <w:r w:rsidRPr="00F60059">
        <w:rPr>
          <w:lang w:val="fr-CA"/>
        </w:rPr>
        <w:t xml:space="preserve"> [</w:t>
      </w:r>
      <w:proofErr w:type="gramStart"/>
      <w:r w:rsidRPr="00F60059">
        <w:rPr>
          <w:lang w:val="fr-CA"/>
        </w:rPr>
        <w:t>par</w:t>
      </w:r>
      <w:proofErr w:type="gramEnd"/>
      <w:r w:rsidRPr="00F60059">
        <w:rPr>
          <w:lang w:val="fr-CA"/>
        </w:rPr>
        <w:t>. 52]</w:t>
      </w:r>
    </w:p>
    <w:p w:rsidR="00E208A8" w:rsidRPr="00F60059" w:rsidRDefault="00E208A8" w:rsidP="00977E8F">
      <w:pPr>
        <w:spacing w:line="480" w:lineRule="auto"/>
      </w:pPr>
      <w:r w:rsidRPr="00F60059">
        <w:t xml:space="preserve">(Voir aussi </w:t>
      </w:r>
      <w:proofErr w:type="spellStart"/>
      <w:r w:rsidRPr="00F60059">
        <w:rPr>
          <w:i/>
          <w:iCs/>
        </w:rPr>
        <w:t>Rasanen</w:t>
      </w:r>
      <w:proofErr w:type="spellEnd"/>
      <w:r w:rsidRPr="00F60059">
        <w:rPr>
          <w:i/>
          <w:iCs/>
        </w:rPr>
        <w:t xml:space="preserve"> c. </w:t>
      </w:r>
      <w:proofErr w:type="spellStart"/>
      <w:r w:rsidRPr="00F60059">
        <w:rPr>
          <w:i/>
          <w:iCs/>
        </w:rPr>
        <w:t>Rosemount</w:t>
      </w:r>
      <w:proofErr w:type="spellEnd"/>
      <w:r w:rsidRPr="00F60059">
        <w:rPr>
          <w:i/>
          <w:iCs/>
        </w:rPr>
        <w:t xml:space="preserve"> Instruments Ltd.</w:t>
      </w:r>
      <w:r w:rsidRPr="00F60059">
        <w:t xml:space="preserve"> (1994), 112 D.L.R. (4th) 683 (C.A. Ont.), p. 705.)</w:t>
      </w:r>
    </w:p>
    <w:p w:rsidR="00E208A8" w:rsidRPr="00F60059" w:rsidRDefault="00E208A8" w:rsidP="00E208A8">
      <w:pPr>
        <w:pStyle w:val="ContinueParaSuitedupar-AltP"/>
        <w:rPr>
          <w:lang w:val="fr-CA"/>
        </w:rPr>
      </w:pPr>
      <w:r w:rsidRPr="00F60059">
        <w:rPr>
          <w:lang w:val="fr-CA"/>
        </w:rPr>
        <w:lastRenderedPageBreak/>
        <w:t xml:space="preserve">Du moment que les plaignants ont eu la possibilité d’être entendus par un décideur compétent en la matière, l’appréciation du caractère « judiciaire » classique de la procédure n’est aucunement du ressort du Tribunal.  </w:t>
      </w:r>
    </w:p>
    <w:p w:rsidR="00E208A8" w:rsidRPr="00F60059" w:rsidRDefault="00E208A8" w:rsidP="00E208A8">
      <w:pPr>
        <w:pStyle w:val="ParaNoNdepar-AltN"/>
        <w:rPr>
          <w:lang w:val="fr-CA"/>
        </w:rPr>
      </w:pPr>
      <w:r w:rsidRPr="00F60059">
        <w:rPr>
          <w:lang w:val="fr-CA"/>
        </w:rPr>
        <w:t xml:space="preserve">Le Tribunal a également critiqué l’interprétation que l’agent de révision a faite de son mandat en matière de droits de la personne : </w:t>
      </w:r>
    </w:p>
    <w:p w:rsidR="00E208A8" w:rsidRPr="00F60059" w:rsidRDefault="00E208A8" w:rsidP="003F3671">
      <w:pPr>
        <w:pStyle w:val="Citation-AltC"/>
        <w:keepNext/>
        <w:spacing w:after="240"/>
        <w:ind w:hanging="1166"/>
        <w:rPr>
          <w:lang w:val="fr-CA"/>
        </w:rPr>
      </w:pPr>
      <w:r w:rsidRPr="00F60059">
        <w:rPr>
          <w:lang w:val="fr-CA"/>
        </w:rPr>
        <w:tab/>
        <w:t>[</w:t>
      </w:r>
      <w:r w:rsidRPr="00F60059">
        <w:rPr>
          <w:smallCaps/>
          <w:lang w:val="fr-CA"/>
        </w:rPr>
        <w:t>traduction</w:t>
      </w:r>
      <w:proofErr w:type="gramStart"/>
      <w:r w:rsidRPr="00F60059">
        <w:rPr>
          <w:lang w:val="fr-CA"/>
        </w:rPr>
        <w:t>]</w:t>
      </w:r>
      <w:r w:rsidR="003F3671" w:rsidRPr="00F60059">
        <w:rPr>
          <w:lang w:val="fr-CA"/>
        </w:rPr>
        <w:t xml:space="preserve"> </w:t>
      </w:r>
      <w:r w:rsidRPr="00F60059">
        <w:rPr>
          <w:lang w:val="fr-CA"/>
        </w:rPr>
        <w:t>.</w:t>
      </w:r>
      <w:proofErr w:type="gramEnd"/>
      <w:r w:rsidRPr="00F60059">
        <w:rPr>
          <w:lang w:val="fr-CA"/>
        </w:rPr>
        <w:t xml:space="preserve"> . . en l’absence de preuve, l’agent de révision a formulé des conclusions au sujet du groupe de comparaison et a déterminé que la politique n’avait pas eu d’incidence sur la dignité des plaignants et conclu qu’il existait un motif justifiable de l’adopter.  Il n’a pas examiné à qui incombe la preuve du motif justifiable ni quels sont les principes d’interprétation à appliquer aux dispositions législatives relatives aux droits de la personne. [. . .] De plus, une règle discriminatoire ne doit pas aller </w:t>
      </w:r>
      <w:proofErr w:type="spellStart"/>
      <w:r w:rsidRPr="00F60059">
        <w:rPr>
          <w:lang w:val="fr-CA"/>
        </w:rPr>
        <w:t>au</w:t>
      </w:r>
      <w:r w:rsidRPr="00F60059">
        <w:rPr>
          <w:lang w:val="fr-CA"/>
        </w:rPr>
        <w:noBreakHyphen/>
        <w:t>delà</w:t>
      </w:r>
      <w:proofErr w:type="spellEnd"/>
      <w:r w:rsidRPr="00F60059">
        <w:rPr>
          <w:lang w:val="fr-CA"/>
        </w:rPr>
        <w:t xml:space="preserve"> de ce qui est nécessaire; il faut donc tenir compte de solutions de rechange possibles permettant d’atteindre l’objectif poursuivi en étant moins discriminatoires . . . [par. 46]</w:t>
      </w:r>
    </w:p>
    <w:p w:rsidR="00E208A8" w:rsidRPr="00F60059" w:rsidRDefault="00E208A8" w:rsidP="00E208A8">
      <w:pPr>
        <w:pStyle w:val="ContinueParaSuitedupar-AltP"/>
        <w:rPr>
          <w:lang w:val="fr-CA"/>
        </w:rPr>
      </w:pPr>
      <w:r w:rsidRPr="00F60059">
        <w:rPr>
          <w:lang w:val="fr-CA"/>
        </w:rPr>
        <w:t xml:space="preserve">Il s’agit encore là précisément de questions se rapportant au </w:t>
      </w:r>
      <w:proofErr w:type="spellStart"/>
      <w:r w:rsidRPr="00F60059">
        <w:rPr>
          <w:lang w:val="fr-CA"/>
        </w:rPr>
        <w:t>bien</w:t>
      </w:r>
      <w:r w:rsidRPr="00F60059">
        <w:rPr>
          <w:lang w:val="fr-CA"/>
        </w:rPr>
        <w:noBreakHyphen/>
        <w:t>fondé</w:t>
      </w:r>
      <w:proofErr w:type="spellEnd"/>
      <w:r w:rsidRPr="00F60059">
        <w:rPr>
          <w:lang w:val="fr-CA"/>
        </w:rPr>
        <w:t xml:space="preserve"> qui relèvent du contrôle judiciaire et qui ne sauraient autoriser un tribunal des droits de la personne à accueillir une contestation indirect</w:t>
      </w:r>
      <w:r w:rsidR="001332A4">
        <w:rPr>
          <w:lang w:val="fr-CA"/>
        </w:rPr>
        <w:t>e sous le régime de l’al. 27(1)</w:t>
      </w:r>
      <w:r w:rsidRPr="00F60059">
        <w:rPr>
          <w:lang w:val="fr-CA"/>
        </w:rPr>
        <w:t xml:space="preserve">f).  </w:t>
      </w:r>
    </w:p>
    <w:p w:rsidR="00E208A8" w:rsidRPr="00F60059" w:rsidRDefault="00E208A8" w:rsidP="00E208A8">
      <w:pPr>
        <w:pStyle w:val="ParaNoNdepar-AltN"/>
        <w:rPr>
          <w:lang w:val="fr-CA"/>
        </w:rPr>
      </w:pPr>
      <w:r w:rsidRPr="00F60059">
        <w:rPr>
          <w:lang w:val="fr-CA"/>
        </w:rPr>
        <w:t xml:space="preserve">Le Tribunal a, en outre, conclu que la décision de l’agent de révision n’était pas définitive.  Ce que le Tribunal voulait dire ne m’apparaît pas clair.  Une décision est « définitive » lorsque toutes les voies d’appel ou de contrôle judiciaire ont été épuisées.  Lorsqu’une partie décide de ne pas se prévaloir de ces mesures, la décision est définitive.  Dans ces circonstances, la décision de l’agent de révision était définitive, même au regard de l’application stricte des règles de la </w:t>
      </w:r>
      <w:proofErr w:type="spellStart"/>
      <w:r w:rsidRPr="00F60059">
        <w:rPr>
          <w:lang w:val="fr-CA"/>
        </w:rPr>
        <w:t>préclusion</w:t>
      </w:r>
      <w:proofErr w:type="spellEnd"/>
      <w:r w:rsidRPr="00F60059">
        <w:rPr>
          <w:lang w:val="fr-CA"/>
        </w:rPr>
        <w:t xml:space="preserve"> </w:t>
      </w:r>
      <w:r w:rsidRPr="00F60059">
        <w:rPr>
          <w:lang w:val="fr-CA"/>
        </w:rPr>
        <w:lastRenderedPageBreak/>
        <w:t>découlant d’une question déjà tranchée — que le législateur n’avait pas, selon moi, l’intention d’incorp</w:t>
      </w:r>
      <w:r w:rsidR="001332A4">
        <w:rPr>
          <w:lang w:val="fr-CA"/>
        </w:rPr>
        <w:t>orer à l’al. 27(1)</w:t>
      </w:r>
      <w:r w:rsidRPr="00F60059">
        <w:rPr>
          <w:lang w:val="fr-CA"/>
        </w:rPr>
        <w:t>f</w:t>
      </w:r>
      <w:r w:rsidRPr="00F60059">
        <w:rPr>
          <w:iCs/>
          <w:lang w:val="fr-CA"/>
        </w:rPr>
        <w:t>)</w:t>
      </w:r>
      <w:r w:rsidRPr="00F60059">
        <w:rPr>
          <w:lang w:val="fr-CA"/>
        </w:rPr>
        <w:t>.  Les plaignants, après avoir décidé de ne pas exercer leur droit de demander le contrôle judiciaire de la décision, ne peuvent prétendre que l’absence de « caractère définitif » de la décision les autorise à remettre la même question en jeu devant un autre décideur (</w:t>
      </w:r>
      <w:proofErr w:type="spellStart"/>
      <w:r w:rsidRPr="00F60059">
        <w:rPr>
          <w:i/>
          <w:iCs/>
          <w:lang w:val="fr-CA"/>
        </w:rPr>
        <w:t>Danyluk</w:t>
      </w:r>
      <w:proofErr w:type="spellEnd"/>
      <w:r w:rsidRPr="00F60059">
        <w:rPr>
          <w:lang w:val="fr-CA"/>
        </w:rPr>
        <w:t>, par. 57).</w:t>
      </w:r>
    </w:p>
    <w:p w:rsidR="00E208A8" w:rsidRPr="00F60059" w:rsidRDefault="00E208A8" w:rsidP="00E208A8">
      <w:pPr>
        <w:pStyle w:val="ParaNoNdepar-AltN"/>
        <w:rPr>
          <w:lang w:val="fr-CA"/>
        </w:rPr>
      </w:pPr>
      <w:r w:rsidRPr="00F60059">
        <w:rPr>
          <w:lang w:val="fr-CA"/>
        </w:rPr>
        <w:t xml:space="preserve">Le Tribunal a conclu que les parties qu’il avait devant lui n’étaient pas les mêmes que celles qui s’étaient présentées devant la Commission, de sorte que les règles de la </w:t>
      </w:r>
      <w:proofErr w:type="spellStart"/>
      <w:r w:rsidRPr="00F60059">
        <w:rPr>
          <w:lang w:val="fr-CA"/>
        </w:rPr>
        <w:t>préclusion</w:t>
      </w:r>
      <w:proofErr w:type="spellEnd"/>
      <w:r w:rsidRPr="00F60059">
        <w:rPr>
          <w:lang w:val="fr-CA"/>
        </w:rPr>
        <w:t xml:space="preserve"> découlant d’une question déjà tranchée étaient inapplicables.  Cette conclusion également procède d’une application stricte des règles plutôt que des principes sous-jacents aux trois doctrines de </w:t>
      </w:r>
      <w:proofErr w:type="spellStart"/>
      <w:r w:rsidRPr="00F60059">
        <w:rPr>
          <w:lang w:val="fr-CA"/>
        </w:rPr>
        <w:t>common</w:t>
      </w:r>
      <w:proofErr w:type="spellEnd"/>
      <w:r w:rsidRPr="00F60059">
        <w:rPr>
          <w:lang w:val="fr-CA"/>
        </w:rPr>
        <w:t xml:space="preserve"> </w:t>
      </w:r>
      <w:proofErr w:type="spellStart"/>
      <w:r w:rsidRPr="00F60059">
        <w:rPr>
          <w:lang w:val="fr-CA"/>
        </w:rPr>
        <w:t>law</w:t>
      </w:r>
      <w:proofErr w:type="spellEnd"/>
      <w:r w:rsidRPr="00F60059">
        <w:rPr>
          <w:lang w:val="fr-CA"/>
        </w:rPr>
        <w:t xml:space="preserve">.  Il importe en outre de rappeler l’observation formulée par la juge </w:t>
      </w:r>
      <w:proofErr w:type="spellStart"/>
      <w:r w:rsidRPr="00F60059">
        <w:rPr>
          <w:lang w:val="fr-CA"/>
        </w:rPr>
        <w:t>Arbour</w:t>
      </w:r>
      <w:proofErr w:type="spellEnd"/>
      <w:r w:rsidRPr="00F60059">
        <w:rPr>
          <w:lang w:val="fr-CA"/>
        </w:rPr>
        <w:t xml:space="preserve"> dans </w:t>
      </w:r>
      <w:r w:rsidRPr="00F60059">
        <w:rPr>
          <w:i/>
          <w:iCs/>
          <w:lang w:val="fr-CA"/>
        </w:rPr>
        <w:t>Toronto (</w:t>
      </w:r>
      <w:r w:rsidRPr="00F60059">
        <w:rPr>
          <w:i/>
          <w:lang w:val="fr-CA"/>
        </w:rPr>
        <w:t>Ville)</w:t>
      </w:r>
      <w:r w:rsidRPr="00F60059">
        <w:rPr>
          <w:lang w:val="fr-CA"/>
        </w:rPr>
        <w:t xml:space="preserve">, selon laquelle l’absence de « réciprocité » n’est pas un obstacle à l’application des règles régissant l’abus de procédure afin d’éviter la multiplication indue des litiges (par. 37). </w:t>
      </w:r>
    </w:p>
    <w:p w:rsidR="00E208A8" w:rsidRPr="00F60059" w:rsidRDefault="00E208A8" w:rsidP="00E208A8">
      <w:pPr>
        <w:pStyle w:val="ParaNoNdepar-AltN"/>
        <w:rPr>
          <w:lang w:val="fr-CA"/>
        </w:rPr>
      </w:pPr>
      <w:r w:rsidRPr="00F60059">
        <w:rPr>
          <w:lang w:val="fr-CA"/>
        </w:rPr>
        <w:t xml:space="preserve">Enfin, le Tribunal a indiqué que l’agent de révision n’avait pas l’expertise voulue pour interpréter ou appliquer le </w:t>
      </w:r>
      <w:r w:rsidRPr="00F60059">
        <w:rPr>
          <w:i/>
          <w:lang w:val="fr-CA"/>
        </w:rPr>
        <w:t>Code</w:t>
      </w:r>
      <w:r w:rsidRPr="00F60059">
        <w:rPr>
          <w:lang w:val="fr-CA"/>
        </w:rPr>
        <w:t xml:space="preserve">.  Tel que mentionné précédemment, cette conclusion est dépourvue de pertinence puisque les deux organismes avaient une compétence concurrente en cette matière à l’époque où les plaintes ont été entendues et tranchées.  Dans </w:t>
      </w:r>
      <w:proofErr w:type="spellStart"/>
      <w:r w:rsidRPr="00F60059">
        <w:rPr>
          <w:i/>
          <w:iCs/>
          <w:lang w:val="fr-CA"/>
        </w:rPr>
        <w:t>Tranchemontagne</w:t>
      </w:r>
      <w:proofErr w:type="spellEnd"/>
      <w:r w:rsidRPr="00F60059">
        <w:rPr>
          <w:lang w:val="fr-CA"/>
        </w:rPr>
        <w:t xml:space="preserve">, le juge </w:t>
      </w:r>
      <w:proofErr w:type="spellStart"/>
      <w:r w:rsidRPr="00F60059">
        <w:rPr>
          <w:lang w:val="fr-CA"/>
        </w:rPr>
        <w:t>Bastarache</w:t>
      </w:r>
      <w:proofErr w:type="spellEnd"/>
      <w:r w:rsidRPr="00F60059">
        <w:rPr>
          <w:lang w:val="fr-CA"/>
        </w:rPr>
        <w:t xml:space="preserve"> a expressément rejeté l’argument voulant que la nature quasi constitutionnelle des lois sur les droits de la personne exige qu’un organisme spécialisé exerce une fonction de surveillance sur la jurisprudence rendue en cette matière.  Comme il l’a expliqué, i</w:t>
      </w:r>
      <w:r w:rsidR="003F3671" w:rsidRPr="00F60059">
        <w:rPr>
          <w:lang w:val="fr-CA"/>
        </w:rPr>
        <w:t xml:space="preserve">l faut assurer à ces </w:t>
      </w:r>
      <w:r w:rsidR="003F3671" w:rsidRPr="00F60059">
        <w:rPr>
          <w:lang w:val="fr-CA"/>
        </w:rPr>
        <w:lastRenderedPageBreak/>
        <w:t>lois une application accessible</w:t>
      </w:r>
      <w:r w:rsidRPr="00F60059">
        <w:rPr>
          <w:lang w:val="fr-CA"/>
        </w:rPr>
        <w:t xml:space="preserve"> pour favoriser l’atteinte des objets du </w:t>
      </w:r>
      <w:r w:rsidRPr="00F60059">
        <w:rPr>
          <w:i/>
          <w:lang w:val="fr-CA"/>
        </w:rPr>
        <w:t>Code</w:t>
      </w:r>
      <w:r w:rsidRPr="00F60059">
        <w:rPr>
          <w:lang w:val="fr-CA"/>
        </w:rPr>
        <w:t xml:space="preserve"> en développant « une culture générale de respect des droits de la personne dans le système administratif » (par. 33 et 39;</w:t>
      </w:r>
      <w:r w:rsidRPr="00F60059">
        <w:rPr>
          <w:b/>
          <w:bCs/>
          <w:lang w:val="fr-CA"/>
        </w:rPr>
        <w:t xml:space="preserve"> </w:t>
      </w:r>
      <w:proofErr w:type="spellStart"/>
      <w:r w:rsidRPr="00F60059">
        <w:rPr>
          <w:i/>
          <w:iCs/>
          <w:lang w:val="fr-CA"/>
        </w:rPr>
        <w:t>Nouvelle</w:t>
      </w:r>
      <w:r w:rsidRPr="00F60059">
        <w:rPr>
          <w:i/>
          <w:iCs/>
          <w:lang w:val="fr-CA"/>
        </w:rPr>
        <w:noBreakHyphen/>
        <w:t>Écosse</w:t>
      </w:r>
      <w:proofErr w:type="spellEnd"/>
      <w:r w:rsidRPr="00F60059">
        <w:rPr>
          <w:i/>
          <w:iCs/>
          <w:lang w:val="fr-CA"/>
        </w:rPr>
        <w:t xml:space="preserve"> (</w:t>
      </w:r>
      <w:proofErr w:type="spellStart"/>
      <w:r w:rsidRPr="00F60059">
        <w:rPr>
          <w:i/>
          <w:iCs/>
          <w:lang w:val="fr-CA"/>
        </w:rPr>
        <w:t>Workers</w:t>
      </w:r>
      <w:proofErr w:type="spellEnd"/>
      <w:r w:rsidRPr="00F60059">
        <w:rPr>
          <w:i/>
          <w:iCs/>
          <w:lang w:val="fr-CA"/>
        </w:rPr>
        <w:t xml:space="preserve">’ Compensation </w:t>
      </w:r>
      <w:proofErr w:type="spellStart"/>
      <w:r w:rsidRPr="00F60059">
        <w:rPr>
          <w:i/>
          <w:iCs/>
          <w:lang w:val="fr-CA"/>
        </w:rPr>
        <w:t>Board</w:t>
      </w:r>
      <w:proofErr w:type="spellEnd"/>
      <w:r w:rsidRPr="00F60059">
        <w:rPr>
          <w:i/>
          <w:iCs/>
          <w:lang w:val="fr-CA"/>
        </w:rPr>
        <w:t>) c. Martin</w:t>
      </w:r>
      <w:r w:rsidRPr="00F60059">
        <w:rPr>
          <w:iCs/>
          <w:lang w:val="fr-CA"/>
        </w:rPr>
        <w:t>,</w:t>
      </w:r>
      <w:r w:rsidRPr="00F60059">
        <w:rPr>
          <w:i/>
          <w:iCs/>
          <w:lang w:val="fr-CA"/>
        </w:rPr>
        <w:t xml:space="preserve"> </w:t>
      </w:r>
      <w:r w:rsidRPr="00F60059">
        <w:rPr>
          <w:iCs/>
          <w:lang w:val="fr-CA"/>
        </w:rPr>
        <w:t xml:space="preserve">2003 CSC 54, </w:t>
      </w:r>
      <w:r w:rsidRPr="00F60059">
        <w:rPr>
          <w:lang w:val="fr-CA"/>
        </w:rPr>
        <w:t xml:space="preserve">[2003] 2 R.C.S. 504; et </w:t>
      </w:r>
      <w:r w:rsidRPr="00F60059">
        <w:rPr>
          <w:i/>
          <w:iCs/>
          <w:lang w:val="fr-CA"/>
        </w:rPr>
        <w:t>Conseil des Canadiens avec déficiences c. VIA Rail Canada Inc.</w:t>
      </w:r>
      <w:r w:rsidRPr="00F60059">
        <w:rPr>
          <w:lang w:val="fr-CA"/>
        </w:rPr>
        <w:t>, 2007 CSC 15, [2007] 1 R.C.S. 650).</w:t>
      </w:r>
    </w:p>
    <w:p w:rsidR="00E208A8" w:rsidRPr="00F60059" w:rsidRDefault="00E208A8" w:rsidP="00E208A8">
      <w:pPr>
        <w:pStyle w:val="ParaNoNdepar-AltN"/>
        <w:rPr>
          <w:lang w:val="fr-CA"/>
        </w:rPr>
      </w:pPr>
      <w:r w:rsidRPr="00F60059">
        <w:rPr>
          <w:lang w:val="fr-CA"/>
        </w:rPr>
        <w:t>Parce que la décision du Tribunal de recevoir ces plaintes et de les entendre de nouveau repose principalement sur des facteurs non pertinents et ne tient pas compte du mandat vérita</w:t>
      </w:r>
      <w:r w:rsidR="00AD1624">
        <w:rPr>
          <w:lang w:val="fr-CA"/>
        </w:rPr>
        <w:t>ble que lui conf</w:t>
      </w:r>
      <w:r w:rsidR="00B929B4">
        <w:rPr>
          <w:lang w:val="fr-CA"/>
        </w:rPr>
        <w:t>è</w:t>
      </w:r>
      <w:r w:rsidR="00AD1624">
        <w:rPr>
          <w:lang w:val="fr-CA"/>
        </w:rPr>
        <w:t>re l’al. 27(1)</w:t>
      </w:r>
      <w:r w:rsidRPr="00F60059">
        <w:rPr>
          <w:lang w:val="fr-CA"/>
        </w:rPr>
        <w:t xml:space="preserve">f), elle est, à mon avis, manifestement déraisonnable.  Puisque ce caractère manifestement déraisonnable tient en grande partie au fait que la décision a entraîné la prolongation et le dédoublement inutiles d’une instance sur laquelle un décideur investi de la compétence voulue avait déjà statué, je ne vois pas l’utilité de faire perdre du temps et de l’argent aux parties par un renvoi de l’instance au Tribunal alors que le résultat est inévitable.  </w:t>
      </w:r>
    </w:p>
    <w:p w:rsidR="003F3671" w:rsidRPr="00F60059" w:rsidRDefault="00E208A8" w:rsidP="003F3671">
      <w:pPr>
        <w:pStyle w:val="ParaNoNdepar-AltN"/>
        <w:rPr>
          <w:lang w:val="fr-CA"/>
        </w:rPr>
      </w:pPr>
      <w:r w:rsidRPr="00F60059">
        <w:rPr>
          <w:lang w:val="fr-CA"/>
        </w:rPr>
        <w:t xml:space="preserve">Je suis donc d’avis d’accueillir le pourvoi, d’annuler la décision du Tribunal et de rejeter les plaintes.  Conformément à la demande de la Commission, il n’y aura pas d’ordonnance quant aux dépens. </w:t>
      </w:r>
    </w:p>
    <w:p w:rsidR="003F3671" w:rsidRPr="00F60059" w:rsidRDefault="00226789" w:rsidP="00226789">
      <w:pPr>
        <w:pStyle w:val="ParaNoNdepar-AltN"/>
        <w:numPr>
          <w:ilvl w:val="0"/>
          <w:numId w:val="0"/>
        </w:numPr>
        <w:tabs>
          <w:tab w:val="left" w:pos="1260"/>
        </w:tabs>
        <w:rPr>
          <w:lang w:val="fr-CA"/>
        </w:rPr>
      </w:pPr>
      <w:r w:rsidRPr="00F60059">
        <w:rPr>
          <w:lang w:val="fr-CA"/>
        </w:rPr>
        <w:tab/>
      </w:r>
      <w:r w:rsidR="003F3671" w:rsidRPr="00F60059">
        <w:rPr>
          <w:lang w:val="fr-CA"/>
        </w:rPr>
        <w:t xml:space="preserve">Version française des motifs de la juge en chef </w:t>
      </w:r>
      <w:proofErr w:type="spellStart"/>
      <w:r w:rsidR="003F3671" w:rsidRPr="00F60059">
        <w:rPr>
          <w:lang w:val="fr-CA"/>
        </w:rPr>
        <w:t>McLachlin</w:t>
      </w:r>
      <w:proofErr w:type="spellEnd"/>
      <w:r w:rsidR="003F3671" w:rsidRPr="00F60059">
        <w:rPr>
          <w:lang w:val="fr-CA"/>
        </w:rPr>
        <w:t xml:space="preserve"> et des juges </w:t>
      </w:r>
      <w:proofErr w:type="spellStart"/>
      <w:r w:rsidR="003F3671" w:rsidRPr="00F60059">
        <w:rPr>
          <w:lang w:val="fr-CA"/>
        </w:rPr>
        <w:t>Binnie</w:t>
      </w:r>
      <w:proofErr w:type="spellEnd"/>
      <w:r w:rsidR="003F3671" w:rsidRPr="00F60059">
        <w:rPr>
          <w:lang w:val="fr-CA"/>
        </w:rPr>
        <w:t>, Fish et Cromwell rendus par</w:t>
      </w:r>
    </w:p>
    <w:p w:rsidR="00226789" w:rsidRPr="00F60059" w:rsidRDefault="00226789" w:rsidP="00226789">
      <w:pPr>
        <w:tabs>
          <w:tab w:val="left" w:pos="1170"/>
        </w:tabs>
        <w:spacing w:after="720"/>
      </w:pPr>
      <w:r w:rsidRPr="00F60059">
        <w:lastRenderedPageBreak/>
        <w:tab/>
      </w:r>
      <w:r w:rsidRPr="00F60059">
        <w:rPr>
          <w:smallCaps/>
        </w:rPr>
        <w:t>Le juge Cromwell</w:t>
      </w:r>
      <w:r w:rsidRPr="00F60059">
        <w:t xml:space="preserve"> — </w:t>
      </w:r>
    </w:p>
    <w:p w:rsidR="00E208A8" w:rsidRPr="00F60059" w:rsidRDefault="00E208A8" w:rsidP="00E208A8">
      <w:pPr>
        <w:pStyle w:val="TitleTitre-AltT"/>
        <w:keepNext/>
        <w:spacing w:after="720"/>
        <w:rPr>
          <w:lang w:val="fr-CA"/>
        </w:rPr>
      </w:pPr>
      <w:r w:rsidRPr="00F60059">
        <w:rPr>
          <w:lang w:val="fr-CA"/>
        </w:rPr>
        <w:t>I.</w:t>
      </w:r>
      <w:r w:rsidRPr="00F60059">
        <w:rPr>
          <w:lang w:val="fr-CA"/>
        </w:rPr>
        <w:tab/>
      </w:r>
      <w:r w:rsidRPr="00F60059">
        <w:rPr>
          <w:u w:val="single"/>
          <w:lang w:val="fr-CA"/>
        </w:rPr>
        <w:t>Introduction</w:t>
      </w:r>
    </w:p>
    <w:p w:rsidR="00E208A8" w:rsidRPr="00F60059" w:rsidRDefault="00E208A8" w:rsidP="00E208A8">
      <w:pPr>
        <w:pStyle w:val="ParaNoNdepar-AltN"/>
        <w:tabs>
          <w:tab w:val="clear" w:pos="1166"/>
          <w:tab w:val="num" w:pos="1152"/>
        </w:tabs>
        <w:rPr>
          <w:lang w:val="fr-CA"/>
        </w:rPr>
      </w:pPr>
      <w:r w:rsidRPr="00F60059">
        <w:rPr>
          <w:lang w:val="fr-CA"/>
        </w:rPr>
        <w:t>Tout comme ma collègue la juge Abella, j’estime que la décision du tribuna</w:t>
      </w:r>
      <w:r w:rsidR="003F3671" w:rsidRPr="00F60059">
        <w:rPr>
          <w:lang w:val="fr-CA"/>
        </w:rPr>
        <w:t>l des droits de la personne (« </w:t>
      </w:r>
      <w:r w:rsidRPr="00F60059">
        <w:rPr>
          <w:lang w:val="fr-CA"/>
        </w:rPr>
        <w:t>Tribunal</w:t>
      </w:r>
      <w:r w:rsidR="003F3671" w:rsidRPr="00F60059">
        <w:rPr>
          <w:lang w:val="fr-CA"/>
        </w:rPr>
        <w:t> »</w:t>
      </w:r>
      <w:r w:rsidRPr="00F60059">
        <w:rPr>
          <w:lang w:val="fr-CA"/>
        </w:rPr>
        <w:t>) était manifestement déraisonnable (2008 BCHRT 374 (</w:t>
      </w:r>
      <w:proofErr w:type="spellStart"/>
      <w:r w:rsidRPr="00F60059">
        <w:rPr>
          <w:lang w:val="fr-CA"/>
        </w:rPr>
        <w:t>CanLII</w:t>
      </w:r>
      <w:proofErr w:type="spellEnd"/>
      <w:r w:rsidRPr="00F60059">
        <w:rPr>
          <w:lang w:val="fr-CA"/>
        </w:rPr>
        <w:t xml:space="preserve">)).  Toutefois, avec respect pour l’opinion qu’elle exprime, je ne partage pas son interprétation du pouvoir discrétionnaire que confère l’al. 27(1)f) du </w:t>
      </w:r>
      <w:proofErr w:type="spellStart"/>
      <w:r w:rsidRPr="00F60059">
        <w:rPr>
          <w:i/>
          <w:lang w:val="fr-CA"/>
        </w:rPr>
        <w:t>Human</w:t>
      </w:r>
      <w:proofErr w:type="spellEnd"/>
      <w:r w:rsidRPr="00F60059">
        <w:rPr>
          <w:i/>
          <w:lang w:val="fr-CA"/>
        </w:rPr>
        <w:t xml:space="preserve"> </w:t>
      </w:r>
      <w:proofErr w:type="spellStart"/>
      <w:r w:rsidRPr="00F60059">
        <w:rPr>
          <w:i/>
          <w:lang w:val="fr-CA"/>
        </w:rPr>
        <w:t>Rights</w:t>
      </w:r>
      <w:proofErr w:type="spellEnd"/>
      <w:r w:rsidRPr="00F60059">
        <w:rPr>
          <w:i/>
          <w:lang w:val="fr-CA"/>
        </w:rPr>
        <w:t xml:space="preserve"> Code</w:t>
      </w:r>
      <w:r w:rsidRPr="00F60059">
        <w:rPr>
          <w:lang w:val="fr-CA"/>
        </w:rPr>
        <w:t>, R.S.B.C. 1996, ch. 210, et je ne puis souscrire à sa décision de ne pas renvoyer les plaintes devant le Tribunal.</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Je n’adhère pas à l’interprétation que donne ma collègue de la nature fondamentale des doctrines de la </w:t>
      </w:r>
      <w:proofErr w:type="spellStart"/>
      <w:r w:rsidRPr="00F60059">
        <w:rPr>
          <w:rFonts w:cs="Times New Roman"/>
          <w:szCs w:val="24"/>
          <w:lang w:val="fr-CA"/>
        </w:rPr>
        <w:t>common</w:t>
      </w:r>
      <w:proofErr w:type="spellEnd"/>
      <w:r w:rsidRPr="00F60059">
        <w:rPr>
          <w:rFonts w:cs="Times New Roman"/>
          <w:szCs w:val="24"/>
          <w:lang w:val="fr-CA"/>
        </w:rPr>
        <w:t xml:space="preserve"> </w:t>
      </w:r>
      <w:proofErr w:type="spellStart"/>
      <w:r w:rsidRPr="00F60059">
        <w:rPr>
          <w:rFonts w:cs="Times New Roman"/>
          <w:szCs w:val="24"/>
          <w:lang w:val="fr-CA"/>
        </w:rPr>
        <w:t>law</w:t>
      </w:r>
      <w:proofErr w:type="spellEnd"/>
      <w:r w:rsidRPr="00F60059">
        <w:rPr>
          <w:rFonts w:cs="Times New Roman"/>
          <w:szCs w:val="24"/>
          <w:lang w:val="fr-CA"/>
        </w:rPr>
        <w:t xml:space="preserve"> relatives au caractère définitif des décisions ou des principes qui </w:t>
      </w:r>
      <w:proofErr w:type="spellStart"/>
      <w:r w:rsidRPr="00F60059">
        <w:rPr>
          <w:rFonts w:cs="Times New Roman"/>
          <w:szCs w:val="24"/>
          <w:lang w:val="fr-CA"/>
        </w:rPr>
        <w:t>sous</w:t>
      </w:r>
      <w:r w:rsidRPr="00F60059">
        <w:rPr>
          <w:rFonts w:cs="Times New Roman"/>
          <w:szCs w:val="24"/>
          <w:lang w:val="fr-CA"/>
        </w:rPr>
        <w:noBreakHyphen/>
        <w:t>tendent</w:t>
      </w:r>
      <w:proofErr w:type="spellEnd"/>
      <w:r w:rsidRPr="00F60059">
        <w:rPr>
          <w:rFonts w:cs="Times New Roman"/>
          <w:szCs w:val="24"/>
          <w:lang w:val="fr-CA"/>
        </w:rPr>
        <w:t xml:space="preserve"> l’al. 27(1)f) du </w:t>
      </w:r>
      <w:proofErr w:type="spellStart"/>
      <w:r w:rsidRPr="00F60059">
        <w:rPr>
          <w:rFonts w:cs="Times New Roman"/>
          <w:i/>
          <w:szCs w:val="24"/>
          <w:lang w:val="fr-CA"/>
        </w:rPr>
        <w:t>Human</w:t>
      </w:r>
      <w:proofErr w:type="spellEnd"/>
      <w:r w:rsidRPr="00F60059">
        <w:rPr>
          <w:rFonts w:cs="Times New Roman"/>
          <w:i/>
          <w:szCs w:val="24"/>
          <w:lang w:val="fr-CA"/>
        </w:rPr>
        <w:t xml:space="preserve"> </w:t>
      </w:r>
      <w:proofErr w:type="spellStart"/>
      <w:r w:rsidRPr="00F60059">
        <w:rPr>
          <w:rFonts w:cs="Times New Roman"/>
          <w:i/>
          <w:szCs w:val="24"/>
          <w:lang w:val="fr-CA"/>
        </w:rPr>
        <w:t>Rights</w:t>
      </w:r>
      <w:proofErr w:type="spellEnd"/>
      <w:r w:rsidRPr="00F60059">
        <w:rPr>
          <w:rFonts w:cs="Times New Roman"/>
          <w:i/>
          <w:szCs w:val="24"/>
          <w:lang w:val="fr-CA"/>
        </w:rPr>
        <w:t xml:space="preserve"> Code</w:t>
      </w:r>
      <w:r w:rsidRPr="00F60059">
        <w:rPr>
          <w:rFonts w:cs="Times New Roman"/>
          <w:szCs w:val="24"/>
          <w:lang w:val="fr-CA"/>
        </w:rPr>
        <w:t xml:space="preserve">.  La juge Abella écrit que ces doctrines ont essentiellement pour effet d’éviter que l’on abuse du processus décisionnel, et que le pouvoir discrétionnaire conféré par l’al. 27(1)f) n’a qu’une portée restreinte et ne vise qu’à assurer le caractère définitif des décisions, qu’à éviter que des questions soient inutilement </w:t>
      </w:r>
      <w:proofErr w:type="spellStart"/>
      <w:r w:rsidRPr="00F60059">
        <w:rPr>
          <w:rFonts w:cs="Times New Roman"/>
          <w:szCs w:val="24"/>
          <w:lang w:val="fr-CA"/>
        </w:rPr>
        <w:t>redébattues</w:t>
      </w:r>
      <w:proofErr w:type="spellEnd"/>
      <w:r w:rsidRPr="00F60059">
        <w:rPr>
          <w:rFonts w:cs="Times New Roman"/>
          <w:szCs w:val="24"/>
          <w:lang w:val="fr-CA"/>
        </w:rPr>
        <w:t xml:space="preserve"> et qu’à voir à l’utilisation des mécanismes de révision appropriés.  Je ne saurais partager cet avis.</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La </w:t>
      </w:r>
      <w:proofErr w:type="spellStart"/>
      <w:r w:rsidRPr="00F60059">
        <w:rPr>
          <w:rFonts w:cs="Times New Roman"/>
          <w:szCs w:val="24"/>
          <w:lang w:val="fr-CA"/>
        </w:rPr>
        <w:t>common</w:t>
      </w:r>
      <w:proofErr w:type="spellEnd"/>
      <w:r w:rsidRPr="00F60059">
        <w:rPr>
          <w:rFonts w:cs="Times New Roman"/>
          <w:szCs w:val="24"/>
          <w:lang w:val="fr-CA"/>
        </w:rPr>
        <w:t xml:space="preserve"> </w:t>
      </w:r>
      <w:proofErr w:type="spellStart"/>
      <w:r w:rsidRPr="00F60059">
        <w:rPr>
          <w:rFonts w:cs="Times New Roman"/>
          <w:szCs w:val="24"/>
          <w:lang w:val="fr-CA"/>
        </w:rPr>
        <w:t>law</w:t>
      </w:r>
      <w:proofErr w:type="spellEnd"/>
      <w:r w:rsidRPr="00F60059">
        <w:rPr>
          <w:rFonts w:cs="Times New Roman"/>
          <w:szCs w:val="24"/>
          <w:lang w:val="fr-CA"/>
        </w:rPr>
        <w:t xml:space="preserve"> considère depuis toujours que le rôle de ces doctrines consiste à établir un juste équilibre entre deux objectifs importants, à savoir le </w:t>
      </w:r>
      <w:r w:rsidRPr="00F60059">
        <w:rPr>
          <w:rFonts w:cs="Times New Roman"/>
          <w:szCs w:val="24"/>
          <w:lang w:val="fr-CA"/>
        </w:rPr>
        <w:lastRenderedPageBreak/>
        <w:t xml:space="preserve">caractère définitif des décisions et l’équité, envisagée plus globalement.  Le caractère définitif des décisions est un aspect de l’équité, mais il ne recoupe pas entièrement cette notion ni ne supplante toutes les autres considérations.  Quant à l’al. 27(1)f), il confère en termes très larges au Tribunal un pouvoir discrétionnaire souple propre à lui permettre de réaliser cet équilibre dans la multitude de contextes où d’autres tribunaux administratifs ont pu se prononcer sur une question relevant des droits de la personne.  Selon moi, la </w:t>
      </w:r>
      <w:proofErr w:type="spellStart"/>
      <w:r w:rsidRPr="00F60059">
        <w:rPr>
          <w:rFonts w:cs="Times New Roman"/>
          <w:szCs w:val="24"/>
          <w:lang w:val="fr-CA"/>
        </w:rPr>
        <w:t>common</w:t>
      </w:r>
      <w:proofErr w:type="spellEnd"/>
      <w:r w:rsidRPr="00F60059">
        <w:rPr>
          <w:rFonts w:cs="Times New Roman"/>
          <w:szCs w:val="24"/>
          <w:lang w:val="fr-CA"/>
        </w:rPr>
        <w:t xml:space="preserve"> </w:t>
      </w:r>
      <w:proofErr w:type="spellStart"/>
      <w:r w:rsidRPr="00F60059">
        <w:rPr>
          <w:rFonts w:cs="Times New Roman"/>
          <w:szCs w:val="24"/>
          <w:lang w:val="fr-CA"/>
        </w:rPr>
        <w:t>law</w:t>
      </w:r>
      <w:proofErr w:type="spellEnd"/>
      <w:r w:rsidRPr="00F60059">
        <w:rPr>
          <w:rFonts w:cs="Times New Roman"/>
          <w:szCs w:val="24"/>
          <w:lang w:val="fr-CA"/>
        </w:rPr>
        <w:t xml:space="preserve"> et en particulier l’al. 27(1)f) du </w:t>
      </w:r>
      <w:r w:rsidRPr="00F60059">
        <w:rPr>
          <w:rFonts w:cs="Times New Roman"/>
          <w:i/>
          <w:szCs w:val="24"/>
          <w:lang w:val="fr-CA"/>
        </w:rPr>
        <w:t>Code</w:t>
      </w:r>
      <w:r w:rsidRPr="00F60059">
        <w:rPr>
          <w:rFonts w:cs="Times New Roman"/>
          <w:szCs w:val="24"/>
          <w:lang w:val="fr-CA"/>
        </w:rPr>
        <w:t xml:space="preserve"> tendent tous deux à la réalisation de ce nécessaire équilibre entre le caractère définitif des décisions et l’équité, et ce, par l’exercice du pouvoir discrétionnaire du Tribunal.  C’est la recherche de cet équilibre qui est au cœur tant des doctrines relatives au caractère définitif des décisions que de l’intention que poursuit le législateur en édictant l’al. 27(1)f).  Avec respect pour l’opinion qu’exprime ma collègue, je suis d’avis qu’en donnant une portée étroite au pouvoir discrétionnaire prévu à l’al. 27(1)f), on ne tient pas compte de cette intention claire du législateur.</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Je suis d’avis d’accueillir le pourvoi et de renvoyer au Tribunal, pour qu’il la réexamine à la lumière des principes qui suivent, la requête pour rejet des plaintes présentée par la </w:t>
      </w:r>
      <w:proofErr w:type="spellStart"/>
      <w:r w:rsidRPr="00F60059">
        <w:rPr>
          <w:rFonts w:cs="Times New Roman"/>
          <w:szCs w:val="24"/>
          <w:lang w:val="fr-CA"/>
        </w:rPr>
        <w:t>Workers</w:t>
      </w:r>
      <w:proofErr w:type="spellEnd"/>
      <w:r w:rsidRPr="00F60059">
        <w:rPr>
          <w:rFonts w:cs="Times New Roman"/>
          <w:szCs w:val="24"/>
          <w:lang w:val="fr-CA"/>
        </w:rPr>
        <w:t xml:space="preserve">’ Compensation </w:t>
      </w:r>
      <w:proofErr w:type="spellStart"/>
      <w:r w:rsidRPr="00F60059">
        <w:rPr>
          <w:rFonts w:cs="Times New Roman"/>
          <w:szCs w:val="24"/>
          <w:lang w:val="fr-CA"/>
        </w:rPr>
        <w:t>Board</w:t>
      </w:r>
      <w:proofErr w:type="spellEnd"/>
      <w:r w:rsidRPr="00F60059">
        <w:rPr>
          <w:rFonts w:cs="Times New Roman"/>
          <w:szCs w:val="24"/>
          <w:lang w:val="fr-CA"/>
        </w:rPr>
        <w:t xml:space="preserve"> </w:t>
      </w:r>
      <w:r w:rsidR="003F3671" w:rsidRPr="00F60059">
        <w:rPr>
          <w:rFonts w:cs="Times New Roman"/>
          <w:szCs w:val="24"/>
          <w:lang w:val="fr-CA"/>
        </w:rPr>
        <w:t xml:space="preserve">(la « Commission ») </w:t>
      </w:r>
      <w:r w:rsidRPr="00F60059">
        <w:rPr>
          <w:rFonts w:cs="Times New Roman"/>
          <w:szCs w:val="24"/>
          <w:lang w:val="fr-CA"/>
        </w:rPr>
        <w:t>aux termes de l’al. 27(1)f).</w:t>
      </w:r>
    </w:p>
    <w:p w:rsidR="00E208A8" w:rsidRPr="00F60059" w:rsidRDefault="00E208A8" w:rsidP="00B8202E">
      <w:pPr>
        <w:pStyle w:val="TitleTitre-AltT"/>
        <w:keepNext/>
        <w:tabs>
          <w:tab w:val="clear" w:pos="360"/>
          <w:tab w:val="left" w:pos="540"/>
        </w:tabs>
        <w:spacing w:after="720"/>
        <w:ind w:left="540" w:hanging="540"/>
        <w:rPr>
          <w:lang w:val="fr-CA"/>
        </w:rPr>
      </w:pPr>
      <w:r w:rsidRPr="00F60059">
        <w:rPr>
          <w:lang w:val="fr-CA"/>
        </w:rPr>
        <w:lastRenderedPageBreak/>
        <w:t>II.</w:t>
      </w:r>
      <w:r w:rsidRPr="00F60059">
        <w:rPr>
          <w:lang w:val="fr-CA"/>
        </w:rPr>
        <w:tab/>
      </w:r>
      <w:r w:rsidRPr="00F60059">
        <w:rPr>
          <w:u w:val="single"/>
          <w:lang w:val="fr-CA"/>
        </w:rPr>
        <w:t>Analyse</w:t>
      </w:r>
    </w:p>
    <w:p w:rsidR="00E208A8" w:rsidRPr="00F60059" w:rsidRDefault="00E208A8" w:rsidP="00B8202E">
      <w:pPr>
        <w:pStyle w:val="TitleTitre-AltT"/>
        <w:keepNext/>
        <w:tabs>
          <w:tab w:val="clear" w:pos="360"/>
        </w:tabs>
        <w:spacing w:after="720"/>
        <w:ind w:left="540" w:hanging="540"/>
        <w:rPr>
          <w:lang w:val="fr-CA"/>
        </w:rPr>
      </w:pPr>
      <w:r w:rsidRPr="00F60059">
        <w:rPr>
          <w:lang w:val="fr-CA"/>
        </w:rPr>
        <w:t>A.</w:t>
      </w:r>
      <w:r w:rsidRPr="00F60059">
        <w:rPr>
          <w:lang w:val="fr-CA"/>
        </w:rPr>
        <w:tab/>
      </w:r>
      <w:r w:rsidRPr="00F60059">
        <w:rPr>
          <w:i/>
          <w:lang w:val="fr-CA"/>
        </w:rPr>
        <w:t xml:space="preserve">Les doctrines de la </w:t>
      </w:r>
      <w:proofErr w:type="spellStart"/>
      <w:r w:rsidRPr="00F60059">
        <w:rPr>
          <w:i/>
          <w:lang w:val="fr-CA"/>
        </w:rPr>
        <w:t>common</w:t>
      </w:r>
      <w:proofErr w:type="spellEnd"/>
      <w:r w:rsidRPr="00F60059">
        <w:rPr>
          <w:i/>
          <w:lang w:val="fr-CA"/>
        </w:rPr>
        <w:t xml:space="preserve"> </w:t>
      </w:r>
      <w:proofErr w:type="spellStart"/>
      <w:r w:rsidRPr="00F60059">
        <w:rPr>
          <w:i/>
          <w:lang w:val="fr-CA"/>
        </w:rPr>
        <w:t>law</w:t>
      </w:r>
      <w:proofErr w:type="spellEnd"/>
      <w:r w:rsidRPr="00F60059">
        <w:rPr>
          <w:i/>
          <w:lang w:val="fr-CA"/>
        </w:rPr>
        <w:t xml:space="preserve"> relatives au caractère définitif des décisions</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Les décisions clés de notre Cour sur l’application de ces doctrines dans le contexte du droit administratif sont les arrêts </w:t>
      </w:r>
      <w:proofErr w:type="spellStart"/>
      <w:r w:rsidRPr="00F60059">
        <w:rPr>
          <w:rFonts w:cs="Times New Roman"/>
          <w:i/>
          <w:szCs w:val="24"/>
          <w:lang w:val="fr-CA"/>
        </w:rPr>
        <w:t>Danyluk</w:t>
      </w:r>
      <w:proofErr w:type="spellEnd"/>
      <w:r w:rsidRPr="00F60059">
        <w:rPr>
          <w:rFonts w:cs="Times New Roman"/>
          <w:i/>
          <w:szCs w:val="24"/>
          <w:lang w:val="fr-CA"/>
        </w:rPr>
        <w:t xml:space="preserve"> c. Ainsworth Technologies Inc.</w:t>
      </w:r>
      <w:r w:rsidRPr="00F60059">
        <w:rPr>
          <w:rFonts w:cs="Times New Roman"/>
          <w:szCs w:val="24"/>
          <w:lang w:val="fr-CA"/>
        </w:rPr>
        <w:t xml:space="preserve">, 2001 CSC 44, [2001] 2 R.C.S. 460, et </w:t>
      </w:r>
      <w:r w:rsidRPr="00F60059">
        <w:rPr>
          <w:rFonts w:cs="Times New Roman"/>
          <w:i/>
          <w:iCs/>
          <w:szCs w:val="24"/>
          <w:lang w:val="fr-CA"/>
        </w:rPr>
        <w:t>Toronto (Ville) c. S.C.F.P., section locale 79</w:t>
      </w:r>
      <w:r w:rsidRPr="00F60059">
        <w:rPr>
          <w:rFonts w:cs="Times New Roman"/>
          <w:iCs/>
          <w:szCs w:val="24"/>
          <w:lang w:val="fr-CA"/>
        </w:rPr>
        <w:t>,</w:t>
      </w:r>
      <w:r w:rsidRPr="00F60059">
        <w:rPr>
          <w:rFonts w:cs="Times New Roman"/>
          <w:szCs w:val="24"/>
          <w:lang w:val="fr-CA"/>
        </w:rPr>
        <w:t xml:space="preserve"> 2003 CSC 63, [2003] 3 R.C.S. 77.  Dans les deux cas, on a souligné l’importance de l’équilibre et du pouvoir discrétionnaire lorsqu’il s’agit d’appliquer les doctrines susmentionnées. </w:t>
      </w:r>
    </w:p>
    <w:p w:rsidR="00E208A8" w:rsidRPr="00F60059" w:rsidRDefault="00E208A8" w:rsidP="00E208A8">
      <w:pPr>
        <w:pStyle w:val="ParaNoNdepar-AltN"/>
        <w:tabs>
          <w:tab w:val="clear" w:pos="1166"/>
          <w:tab w:val="num" w:pos="1152"/>
        </w:tabs>
        <w:rPr>
          <w:rFonts w:cs="Times New Roman"/>
          <w:iCs/>
          <w:szCs w:val="24"/>
          <w:lang w:val="fr-CA"/>
        </w:rPr>
      </w:pPr>
      <w:r w:rsidRPr="00F60059">
        <w:rPr>
          <w:rFonts w:cs="Times New Roman"/>
          <w:szCs w:val="24"/>
          <w:lang w:val="fr-CA"/>
        </w:rPr>
        <w:t xml:space="preserve">Dans </w:t>
      </w:r>
      <w:proofErr w:type="spellStart"/>
      <w:r w:rsidRPr="00F60059">
        <w:rPr>
          <w:rFonts w:cs="Times New Roman"/>
          <w:i/>
          <w:szCs w:val="24"/>
          <w:lang w:val="fr-CA"/>
        </w:rPr>
        <w:t>Danyluk</w:t>
      </w:r>
      <w:proofErr w:type="spellEnd"/>
      <w:r w:rsidRPr="00F60059">
        <w:rPr>
          <w:rFonts w:cs="Times New Roman"/>
          <w:szCs w:val="24"/>
          <w:lang w:val="fr-CA"/>
        </w:rPr>
        <w:t xml:space="preserve">, la Cour devait établir si l’action en </w:t>
      </w:r>
      <w:proofErr w:type="spellStart"/>
      <w:r w:rsidRPr="00F60059">
        <w:rPr>
          <w:rFonts w:cs="Times New Roman"/>
          <w:szCs w:val="24"/>
          <w:lang w:val="fr-CA"/>
        </w:rPr>
        <w:t>dommages</w:t>
      </w:r>
      <w:r w:rsidRPr="00F60059">
        <w:rPr>
          <w:rFonts w:cs="Times New Roman"/>
          <w:szCs w:val="24"/>
          <w:lang w:val="fr-CA"/>
        </w:rPr>
        <w:noBreakHyphen/>
        <w:t>intérêts</w:t>
      </w:r>
      <w:proofErr w:type="spellEnd"/>
      <w:r w:rsidRPr="00F60059">
        <w:rPr>
          <w:rFonts w:cs="Times New Roman"/>
          <w:szCs w:val="24"/>
          <w:lang w:val="fr-CA"/>
        </w:rPr>
        <w:t xml:space="preserve"> intentée par M</w:t>
      </w:r>
      <w:r w:rsidRPr="00F60059">
        <w:rPr>
          <w:rFonts w:cs="Times New Roman"/>
          <w:szCs w:val="24"/>
          <w:vertAlign w:val="superscript"/>
          <w:lang w:val="fr-CA"/>
        </w:rPr>
        <w:t>me</w:t>
      </w:r>
      <w:r w:rsidRPr="00F60059">
        <w:rPr>
          <w:rFonts w:cs="Times New Roman"/>
          <w:szCs w:val="24"/>
          <w:lang w:val="fr-CA"/>
        </w:rPr>
        <w:t> </w:t>
      </w:r>
      <w:proofErr w:type="spellStart"/>
      <w:r w:rsidRPr="00F60059">
        <w:rPr>
          <w:rFonts w:cs="Times New Roman"/>
          <w:szCs w:val="24"/>
          <w:lang w:val="fr-CA"/>
        </w:rPr>
        <w:t>Danyluk</w:t>
      </w:r>
      <w:proofErr w:type="spellEnd"/>
      <w:r w:rsidRPr="00F60059">
        <w:rPr>
          <w:rFonts w:cs="Times New Roman"/>
          <w:szCs w:val="24"/>
          <w:lang w:val="fr-CA"/>
        </w:rPr>
        <w:t xml:space="preserve"> pour congédiement injustifié était irrecevable du fait de la </w:t>
      </w:r>
      <w:proofErr w:type="spellStart"/>
      <w:r w:rsidRPr="00F60059">
        <w:rPr>
          <w:rFonts w:cs="Times New Roman"/>
          <w:szCs w:val="24"/>
          <w:lang w:val="fr-CA"/>
        </w:rPr>
        <w:t>préclusion</w:t>
      </w:r>
      <w:proofErr w:type="spellEnd"/>
      <w:r w:rsidRPr="00F60059">
        <w:rPr>
          <w:rFonts w:cs="Times New Roman"/>
          <w:szCs w:val="24"/>
          <w:lang w:val="fr-CA"/>
        </w:rPr>
        <w:t xml:space="preserve"> découlant de la décision négative déjà rendue par une agente des normes d’emploi.  Rédigeant l’opinion unanime de la Cour, le juge </w:t>
      </w:r>
      <w:proofErr w:type="spellStart"/>
      <w:r w:rsidRPr="00F60059">
        <w:rPr>
          <w:rFonts w:cs="Times New Roman"/>
          <w:szCs w:val="24"/>
          <w:lang w:val="fr-CA"/>
        </w:rPr>
        <w:t>Binnie</w:t>
      </w:r>
      <w:proofErr w:type="spellEnd"/>
      <w:r w:rsidRPr="00F60059">
        <w:rPr>
          <w:rFonts w:cs="Times New Roman"/>
          <w:szCs w:val="24"/>
          <w:lang w:val="fr-CA"/>
        </w:rPr>
        <w:t xml:space="preserve"> a indiqué que, bien que le caractère définitif des décisions constitue une considération impérieuse, la </w:t>
      </w:r>
      <w:proofErr w:type="spellStart"/>
      <w:r w:rsidRPr="00F60059">
        <w:rPr>
          <w:rFonts w:cs="Times New Roman"/>
          <w:szCs w:val="24"/>
          <w:lang w:val="fr-CA"/>
        </w:rPr>
        <w:t>préclusion</w:t>
      </w:r>
      <w:proofErr w:type="spellEnd"/>
      <w:r w:rsidRPr="00F60059">
        <w:rPr>
          <w:rFonts w:cs="Times New Roman"/>
          <w:szCs w:val="24"/>
          <w:lang w:val="fr-CA"/>
        </w:rPr>
        <w:t xml:space="preserve"> découlant d’une question déjà tranchée est une doctrine d’intérêt public qui tend à favoriser les i</w:t>
      </w:r>
      <w:r w:rsidR="003F3671" w:rsidRPr="00F60059">
        <w:rPr>
          <w:rFonts w:cs="Times New Roman"/>
          <w:szCs w:val="24"/>
          <w:lang w:val="fr-CA"/>
        </w:rPr>
        <w:t>ntérêts de la justice</w:t>
      </w:r>
      <w:r w:rsidRPr="00F60059">
        <w:rPr>
          <w:rFonts w:cs="Times New Roman"/>
          <w:szCs w:val="24"/>
          <w:lang w:val="fr-CA"/>
        </w:rPr>
        <w:t xml:space="preserve"> </w:t>
      </w:r>
      <w:r w:rsidR="003F3671" w:rsidRPr="00F60059">
        <w:rPr>
          <w:rFonts w:cs="Times New Roman"/>
          <w:szCs w:val="24"/>
          <w:lang w:val="fr-CA"/>
        </w:rPr>
        <w:t>(</w:t>
      </w:r>
      <w:r w:rsidRPr="00F60059">
        <w:rPr>
          <w:rFonts w:cs="Times New Roman"/>
          <w:szCs w:val="24"/>
          <w:lang w:val="fr-CA"/>
        </w:rPr>
        <w:t>par. 19</w:t>
      </w:r>
      <w:r w:rsidR="003F3671" w:rsidRPr="00F60059">
        <w:rPr>
          <w:rFonts w:cs="Times New Roman"/>
          <w:szCs w:val="24"/>
          <w:lang w:val="fr-CA"/>
        </w:rPr>
        <w:t>)</w:t>
      </w:r>
      <w:r w:rsidRPr="00F60059">
        <w:rPr>
          <w:rFonts w:cs="Times New Roman"/>
          <w:szCs w:val="24"/>
          <w:lang w:val="fr-CA"/>
        </w:rPr>
        <w:t xml:space="preserve">.  Il a souligné que l’application des doctrines de la </w:t>
      </w:r>
      <w:proofErr w:type="spellStart"/>
      <w:r w:rsidRPr="00F60059">
        <w:rPr>
          <w:rFonts w:cs="Times New Roman"/>
          <w:szCs w:val="24"/>
          <w:lang w:val="fr-CA"/>
        </w:rPr>
        <w:t>common</w:t>
      </w:r>
      <w:proofErr w:type="spellEnd"/>
      <w:r w:rsidRPr="00F60059">
        <w:rPr>
          <w:rFonts w:cs="Times New Roman"/>
          <w:szCs w:val="24"/>
          <w:lang w:val="fr-CA"/>
        </w:rPr>
        <w:t xml:space="preserve"> </w:t>
      </w:r>
      <w:proofErr w:type="spellStart"/>
      <w:r w:rsidRPr="00F60059">
        <w:rPr>
          <w:rFonts w:cs="Times New Roman"/>
          <w:szCs w:val="24"/>
          <w:lang w:val="fr-CA"/>
        </w:rPr>
        <w:t>law</w:t>
      </w:r>
      <w:proofErr w:type="spellEnd"/>
      <w:r w:rsidRPr="00F60059">
        <w:rPr>
          <w:rFonts w:cs="Times New Roman"/>
          <w:szCs w:val="24"/>
          <w:lang w:val="fr-CA"/>
        </w:rPr>
        <w:t xml:space="preserve"> relatives au caractère définitif des décisions — la </w:t>
      </w:r>
      <w:proofErr w:type="spellStart"/>
      <w:r w:rsidRPr="00F60059">
        <w:rPr>
          <w:rFonts w:cs="Times New Roman"/>
          <w:szCs w:val="24"/>
          <w:lang w:val="fr-CA"/>
        </w:rPr>
        <w:t>préclusion</w:t>
      </w:r>
      <w:proofErr w:type="spellEnd"/>
      <w:r w:rsidRPr="00F60059">
        <w:rPr>
          <w:rFonts w:cs="Times New Roman"/>
          <w:szCs w:val="24"/>
          <w:lang w:val="fr-CA"/>
        </w:rPr>
        <w:t xml:space="preserve"> fondée sur la cause d’action, la </w:t>
      </w:r>
      <w:proofErr w:type="spellStart"/>
      <w:r w:rsidRPr="00F60059">
        <w:rPr>
          <w:rFonts w:cs="Times New Roman"/>
          <w:szCs w:val="24"/>
          <w:lang w:val="fr-CA"/>
        </w:rPr>
        <w:t>préclusion</w:t>
      </w:r>
      <w:proofErr w:type="spellEnd"/>
      <w:r w:rsidRPr="00F60059">
        <w:rPr>
          <w:rFonts w:cs="Times New Roman"/>
          <w:szCs w:val="24"/>
          <w:lang w:val="fr-CA"/>
        </w:rPr>
        <w:t xml:space="preserve"> découlant d’une question déjà tranchée et la règle interdisant les contestations indirectes — a été étendue aux décideurs administratifs.  Fait important, il a ajouté que, en contexte de droit administratif, « l’objectif spécifique poursuivi [par l’application de ces doctrines] </w:t>
      </w:r>
      <w:r w:rsidRPr="00F60059">
        <w:rPr>
          <w:rFonts w:cs="Times New Roman"/>
          <w:szCs w:val="24"/>
          <w:lang w:val="fr-CA"/>
        </w:rPr>
        <w:lastRenderedPageBreak/>
        <w:t>consiste à assurer l’équilibre entre le respect de l’équité envers les parties et la protection du processu</w:t>
      </w:r>
      <w:r w:rsidR="003F3671" w:rsidRPr="00F60059">
        <w:rPr>
          <w:rFonts w:cs="Times New Roman"/>
          <w:szCs w:val="24"/>
          <w:lang w:val="fr-CA"/>
        </w:rPr>
        <w:t>s décisionnel administratif » (</w:t>
      </w:r>
      <w:r w:rsidRPr="00F60059">
        <w:rPr>
          <w:rFonts w:cs="Times New Roman"/>
          <w:szCs w:val="24"/>
          <w:lang w:val="fr-CA"/>
        </w:rPr>
        <w:t>par. 21</w:t>
      </w:r>
      <w:r w:rsidR="003F3671" w:rsidRPr="00F60059">
        <w:rPr>
          <w:rFonts w:cs="Times New Roman"/>
          <w:szCs w:val="24"/>
          <w:lang w:val="fr-CA"/>
        </w:rPr>
        <w:t>)</w:t>
      </w:r>
      <w:r w:rsidRPr="00F60059">
        <w:rPr>
          <w:rFonts w:cs="Times New Roman"/>
          <w:szCs w:val="24"/>
          <w:lang w:val="fr-CA"/>
        </w:rPr>
        <w:t xml:space="preserve">.  Ainsi, même lorsque les éléments traditionnels de ces doctrines sont présents, les tribunaux judiciaires doivent exercer leur pouvoir discrétionnaire pour décider s’il y a lieu de permettre ou non l’instruction de la demande.  Il a fait remarquer que l’exercice de ce pouvoir discrétionnaire était possible même lorsque la </w:t>
      </w:r>
      <w:proofErr w:type="spellStart"/>
      <w:r w:rsidRPr="00F60059">
        <w:rPr>
          <w:rFonts w:cs="Times New Roman"/>
          <w:szCs w:val="24"/>
          <w:lang w:val="fr-CA"/>
        </w:rPr>
        <w:t>préclusion</w:t>
      </w:r>
      <w:proofErr w:type="spellEnd"/>
      <w:r w:rsidRPr="00F60059">
        <w:rPr>
          <w:rFonts w:cs="Times New Roman"/>
          <w:szCs w:val="24"/>
          <w:lang w:val="fr-CA"/>
        </w:rPr>
        <w:t xml:space="preserve"> pourrait découler d’une décision judiciaire, ajoutant cependant que ce pouvoir « </w:t>
      </w:r>
      <w:r w:rsidRPr="00F60059">
        <w:rPr>
          <w:rFonts w:cs="Times New Roman"/>
          <w:szCs w:val="24"/>
          <w:lang w:val="fr-FR"/>
        </w:rPr>
        <w:t xml:space="preserve">est </w:t>
      </w:r>
      <w:r w:rsidRPr="00F60059">
        <w:rPr>
          <w:rFonts w:cs="Times New Roman"/>
          <w:szCs w:val="24"/>
          <w:u w:val="single"/>
          <w:lang w:val="fr-FR"/>
        </w:rPr>
        <w:t>nécessairement plus étendu à l’égard des décisions des tribunaux administratifs</w:t>
      </w:r>
      <w:r w:rsidRPr="00F60059">
        <w:rPr>
          <w:rFonts w:cs="Times New Roman"/>
          <w:szCs w:val="24"/>
          <w:lang w:val="fr-FR"/>
        </w:rPr>
        <w:t>, étant donné la diversité considérable des structures, missions et procédures des décideurs administratifs » :</w:t>
      </w:r>
      <w:r w:rsidRPr="00F60059">
        <w:rPr>
          <w:rFonts w:cs="Times New Roman"/>
          <w:szCs w:val="24"/>
          <w:lang w:val="fr-CA"/>
        </w:rPr>
        <w:t xml:space="preserve"> par. 62 (je souligne); voir aussi D. J. Lange, </w:t>
      </w:r>
      <w:r w:rsidRPr="00F60059">
        <w:rPr>
          <w:rFonts w:cs="Times New Roman"/>
          <w:i/>
          <w:iCs/>
          <w:szCs w:val="24"/>
          <w:lang w:val="fr-CA"/>
        </w:rPr>
        <w:t xml:space="preserve">The Doctrine of </w:t>
      </w:r>
      <w:proofErr w:type="spellStart"/>
      <w:r w:rsidRPr="00F60059">
        <w:rPr>
          <w:rFonts w:cs="Times New Roman"/>
          <w:i/>
          <w:iCs/>
          <w:szCs w:val="24"/>
          <w:lang w:val="fr-CA"/>
        </w:rPr>
        <w:t>Res</w:t>
      </w:r>
      <w:proofErr w:type="spellEnd"/>
      <w:r w:rsidRPr="00F60059">
        <w:rPr>
          <w:rFonts w:cs="Times New Roman"/>
          <w:i/>
          <w:iCs/>
          <w:szCs w:val="24"/>
          <w:lang w:val="fr-CA"/>
        </w:rPr>
        <w:t xml:space="preserve"> </w:t>
      </w:r>
      <w:proofErr w:type="spellStart"/>
      <w:r w:rsidRPr="00F60059">
        <w:rPr>
          <w:rFonts w:cs="Times New Roman"/>
          <w:i/>
          <w:iCs/>
          <w:szCs w:val="24"/>
          <w:lang w:val="fr-CA"/>
        </w:rPr>
        <w:t>Judicata</w:t>
      </w:r>
      <w:proofErr w:type="spellEnd"/>
      <w:r w:rsidRPr="00F60059">
        <w:rPr>
          <w:rFonts w:cs="Times New Roman"/>
          <w:i/>
          <w:iCs/>
          <w:szCs w:val="24"/>
          <w:lang w:val="fr-CA"/>
        </w:rPr>
        <w:t xml:space="preserve"> in Canada</w:t>
      </w:r>
      <w:r w:rsidRPr="00F60059">
        <w:rPr>
          <w:rFonts w:cs="Times New Roman"/>
          <w:iCs/>
          <w:szCs w:val="24"/>
          <w:lang w:val="fr-CA"/>
        </w:rPr>
        <w:t xml:space="preserve"> </w:t>
      </w:r>
      <w:r w:rsidRPr="00F60059">
        <w:rPr>
          <w:rFonts w:cs="Times New Roman"/>
          <w:szCs w:val="24"/>
          <w:lang w:val="fr-CA"/>
        </w:rPr>
        <w:t>(3</w:t>
      </w:r>
      <w:r w:rsidRPr="00F60059">
        <w:rPr>
          <w:rFonts w:cs="Times New Roman"/>
          <w:szCs w:val="24"/>
          <w:vertAlign w:val="superscript"/>
          <w:lang w:val="fr-CA"/>
        </w:rPr>
        <w:t>e</w:t>
      </w:r>
      <w:r w:rsidRPr="00F60059">
        <w:rPr>
          <w:rFonts w:cs="Times New Roman"/>
          <w:szCs w:val="24"/>
          <w:lang w:val="fr-CA"/>
        </w:rPr>
        <w:t> éd. 2010), p. 227</w:t>
      </w:r>
      <w:r w:rsidRPr="00F60059">
        <w:rPr>
          <w:rFonts w:cs="Times New Roman"/>
          <w:szCs w:val="24"/>
          <w:lang w:val="fr-CA"/>
        </w:rPr>
        <w:noBreakHyphen/>
        <w:t xml:space="preserve">229.  Le juge </w:t>
      </w:r>
      <w:proofErr w:type="spellStart"/>
      <w:r w:rsidRPr="00F60059">
        <w:rPr>
          <w:rFonts w:cs="Times New Roman"/>
          <w:szCs w:val="24"/>
          <w:lang w:val="fr-CA"/>
        </w:rPr>
        <w:t>Binnie</w:t>
      </w:r>
      <w:proofErr w:type="spellEnd"/>
      <w:r w:rsidRPr="00F60059">
        <w:rPr>
          <w:rFonts w:cs="Times New Roman"/>
          <w:szCs w:val="24"/>
          <w:lang w:val="fr-CA"/>
        </w:rPr>
        <w:t xml:space="preserve"> a aussi cité le juge </w:t>
      </w:r>
      <w:proofErr w:type="spellStart"/>
      <w:r w:rsidRPr="00F60059">
        <w:rPr>
          <w:rFonts w:cs="Times New Roman"/>
          <w:szCs w:val="24"/>
          <w:lang w:val="fr-CA"/>
        </w:rPr>
        <w:t>Finch</w:t>
      </w:r>
      <w:proofErr w:type="spellEnd"/>
      <w:r w:rsidRPr="00F60059">
        <w:rPr>
          <w:rFonts w:cs="Times New Roman"/>
          <w:szCs w:val="24"/>
          <w:lang w:val="fr-CA"/>
        </w:rPr>
        <w:t xml:space="preserve"> (plus tard Juge en chef de la </w:t>
      </w:r>
      <w:proofErr w:type="spellStart"/>
      <w:r w:rsidRPr="00F60059">
        <w:rPr>
          <w:rFonts w:cs="Times New Roman"/>
          <w:szCs w:val="24"/>
          <w:lang w:val="fr-CA"/>
        </w:rPr>
        <w:t>Colombie</w:t>
      </w:r>
      <w:r w:rsidRPr="00F60059">
        <w:rPr>
          <w:rFonts w:cs="Times New Roman"/>
          <w:szCs w:val="24"/>
          <w:lang w:val="fr-CA"/>
        </w:rPr>
        <w:noBreakHyphen/>
        <w:t>Britannique</w:t>
      </w:r>
      <w:proofErr w:type="spellEnd"/>
      <w:r w:rsidRPr="00F60059">
        <w:rPr>
          <w:rFonts w:cs="Times New Roman"/>
          <w:szCs w:val="24"/>
          <w:lang w:val="fr-CA"/>
        </w:rPr>
        <w:t xml:space="preserve">), selon lequel </w:t>
      </w:r>
      <w:r w:rsidR="003F3671" w:rsidRPr="00F60059">
        <w:rPr>
          <w:rFonts w:cs="Times New Roman"/>
          <w:szCs w:val="24"/>
          <w:lang w:val="fr-CA"/>
        </w:rPr>
        <w:t>[</w:t>
      </w:r>
      <w:r w:rsidR="003F3671" w:rsidRPr="00F60059">
        <w:rPr>
          <w:rFonts w:cs="Times New Roman"/>
          <w:smallCaps/>
          <w:szCs w:val="24"/>
          <w:lang w:val="fr-CA"/>
        </w:rPr>
        <w:t>traduction</w:t>
      </w:r>
      <w:r w:rsidR="003F3671" w:rsidRPr="00F60059">
        <w:rPr>
          <w:rFonts w:cs="Times New Roman"/>
          <w:szCs w:val="24"/>
          <w:lang w:val="fr-CA"/>
        </w:rPr>
        <w:t>] « [</w:t>
      </w:r>
      <w:r w:rsidRPr="00F60059">
        <w:rPr>
          <w:rFonts w:cs="Times New Roman"/>
          <w:szCs w:val="24"/>
          <w:lang w:val="fr-CA"/>
        </w:rPr>
        <w:t>l</w:t>
      </w:r>
      <w:r w:rsidR="00B929B4">
        <w:rPr>
          <w:rFonts w:cs="Times New Roman"/>
          <w:szCs w:val="24"/>
          <w:lang w:val="fr-CA"/>
        </w:rPr>
        <w:t>]</w:t>
      </w:r>
      <w:r w:rsidRPr="00F60059">
        <w:rPr>
          <w:rFonts w:cs="Times New Roman"/>
          <w:szCs w:val="24"/>
          <w:lang w:val="fr-CA"/>
        </w:rPr>
        <w:t xml:space="preserve">a doctrine de la </w:t>
      </w:r>
      <w:proofErr w:type="spellStart"/>
      <w:r w:rsidRPr="00F60059">
        <w:rPr>
          <w:rFonts w:cs="Times New Roman"/>
          <w:szCs w:val="24"/>
          <w:lang w:val="fr-CA"/>
        </w:rPr>
        <w:t>préclusion</w:t>
      </w:r>
      <w:proofErr w:type="spellEnd"/>
      <w:r w:rsidRPr="00F60059">
        <w:rPr>
          <w:rFonts w:cs="Times New Roman"/>
          <w:szCs w:val="24"/>
          <w:lang w:val="fr-CA"/>
        </w:rPr>
        <w:t xml:space="preserve"> découlant d’une question déjà tranchée se veut un moyen de rendre justice et de protéger contre l’injustice.  Elle implique inévitablement l’exercice par la cour de son pouvoir discrétionnaire pour assurer le respect de l’équité selon les circonstances propres à chaque espèce » : </w:t>
      </w:r>
      <w:r w:rsidRPr="00F60059">
        <w:rPr>
          <w:rFonts w:cs="Times New Roman"/>
          <w:i/>
          <w:iCs/>
          <w:szCs w:val="24"/>
          <w:lang w:val="fr-CA"/>
        </w:rPr>
        <w:t>British Columbia (</w:t>
      </w:r>
      <w:proofErr w:type="spellStart"/>
      <w:r w:rsidRPr="00F60059">
        <w:rPr>
          <w:rFonts w:cs="Times New Roman"/>
          <w:i/>
          <w:iCs/>
          <w:szCs w:val="24"/>
          <w:lang w:val="fr-CA"/>
        </w:rPr>
        <w:t>Minister</w:t>
      </w:r>
      <w:proofErr w:type="spellEnd"/>
      <w:r w:rsidRPr="00F60059">
        <w:rPr>
          <w:rFonts w:cs="Times New Roman"/>
          <w:i/>
          <w:iCs/>
          <w:szCs w:val="24"/>
          <w:lang w:val="fr-CA"/>
        </w:rPr>
        <w:t xml:space="preserve"> of </w:t>
      </w:r>
      <w:proofErr w:type="spellStart"/>
      <w:r w:rsidRPr="00F60059">
        <w:rPr>
          <w:rFonts w:cs="Times New Roman"/>
          <w:i/>
          <w:iCs/>
          <w:szCs w:val="24"/>
          <w:lang w:val="fr-CA"/>
        </w:rPr>
        <w:t>Forests</w:t>
      </w:r>
      <w:proofErr w:type="spellEnd"/>
      <w:r w:rsidRPr="00F60059">
        <w:rPr>
          <w:rFonts w:cs="Times New Roman"/>
          <w:i/>
          <w:iCs/>
          <w:szCs w:val="24"/>
          <w:lang w:val="fr-CA"/>
        </w:rPr>
        <w:t xml:space="preserve">) c. </w:t>
      </w:r>
      <w:proofErr w:type="spellStart"/>
      <w:r w:rsidRPr="00F60059">
        <w:rPr>
          <w:rFonts w:cs="Times New Roman"/>
          <w:i/>
          <w:iCs/>
          <w:szCs w:val="24"/>
          <w:lang w:val="fr-CA"/>
        </w:rPr>
        <w:t>Bugbusters</w:t>
      </w:r>
      <w:proofErr w:type="spellEnd"/>
      <w:r w:rsidRPr="00F60059">
        <w:rPr>
          <w:rFonts w:cs="Times New Roman"/>
          <w:i/>
          <w:iCs/>
          <w:szCs w:val="24"/>
          <w:lang w:val="fr-CA"/>
        </w:rPr>
        <w:t xml:space="preserve"> Pest Management Inc.</w:t>
      </w:r>
      <w:r w:rsidRPr="00F60059">
        <w:rPr>
          <w:rFonts w:cs="Times New Roman"/>
          <w:szCs w:val="24"/>
          <w:lang w:val="fr-CA"/>
        </w:rPr>
        <w:t xml:space="preserve"> (1998), 50 </w:t>
      </w:r>
      <w:r w:rsidR="007564CF" w:rsidRPr="00F60059">
        <w:rPr>
          <w:rFonts w:cs="Times New Roman"/>
          <w:szCs w:val="24"/>
          <w:lang w:val="fr-CA"/>
        </w:rPr>
        <w:t>B.C.L.R. (3d) 1 (C.A.), par. 32,</w:t>
      </w:r>
      <w:r w:rsidRPr="00F60059">
        <w:rPr>
          <w:rFonts w:cs="Times New Roman"/>
          <w:szCs w:val="24"/>
          <w:lang w:val="fr-CA"/>
        </w:rPr>
        <w:t xml:space="preserve"> cité au par. 63 de </w:t>
      </w:r>
      <w:proofErr w:type="spellStart"/>
      <w:r w:rsidRPr="00F60059">
        <w:rPr>
          <w:rFonts w:cs="Times New Roman"/>
          <w:i/>
          <w:szCs w:val="24"/>
          <w:lang w:val="fr-CA"/>
        </w:rPr>
        <w:t>Danyluk</w:t>
      </w:r>
      <w:proofErr w:type="spellEnd"/>
      <w:r w:rsidRPr="00F60059">
        <w:rPr>
          <w:rFonts w:cs="Times New Roman"/>
          <w:szCs w:val="24"/>
          <w:lang w:val="fr-CA"/>
        </w:rPr>
        <w:t xml:space="preserve">.  Le juge </w:t>
      </w:r>
      <w:proofErr w:type="spellStart"/>
      <w:r w:rsidRPr="00F60059">
        <w:rPr>
          <w:rFonts w:cs="Times New Roman"/>
          <w:szCs w:val="24"/>
          <w:lang w:val="fr-CA"/>
        </w:rPr>
        <w:t>Binnie</w:t>
      </w:r>
      <w:proofErr w:type="spellEnd"/>
      <w:r w:rsidRPr="00F60059">
        <w:rPr>
          <w:rFonts w:cs="Times New Roman"/>
          <w:szCs w:val="24"/>
          <w:lang w:val="fr-CA"/>
        </w:rPr>
        <w:t xml:space="preserve"> a ensuite statué qu’on commettait « une erreur de principe en omettant de soupeser les facteurs favorables et défavorables à l’exercice du pouvoir discrétionnaire [. . .]  L’objectif est de faire en sorte que l’application de la </w:t>
      </w:r>
      <w:proofErr w:type="spellStart"/>
      <w:r w:rsidRPr="00F60059">
        <w:rPr>
          <w:rFonts w:cs="Times New Roman"/>
          <w:szCs w:val="24"/>
          <w:lang w:val="fr-CA"/>
        </w:rPr>
        <w:t>préclusion</w:t>
      </w:r>
      <w:proofErr w:type="spellEnd"/>
      <w:r w:rsidRPr="00F60059">
        <w:rPr>
          <w:rFonts w:cs="Times New Roman"/>
          <w:szCs w:val="24"/>
          <w:lang w:val="fr-CA"/>
        </w:rPr>
        <w:t xml:space="preserve"> découlant d’une question déjà tranchée favorise l’administration ordonnée de la justice, mais</w:t>
      </w:r>
      <w:r w:rsidR="007564CF" w:rsidRPr="00F60059">
        <w:rPr>
          <w:rFonts w:cs="Times New Roman"/>
          <w:szCs w:val="24"/>
          <w:lang w:val="fr-CA"/>
        </w:rPr>
        <w:t xml:space="preserve"> pas au prix d’une injustice concrète » </w:t>
      </w:r>
      <w:r w:rsidRPr="00F60059">
        <w:rPr>
          <w:rFonts w:cs="Times New Roman"/>
          <w:szCs w:val="24"/>
          <w:lang w:val="fr-CA"/>
        </w:rPr>
        <w:t xml:space="preserve"> </w:t>
      </w:r>
      <w:r w:rsidR="007564CF" w:rsidRPr="00F60059">
        <w:rPr>
          <w:rFonts w:cs="Times New Roman"/>
          <w:szCs w:val="24"/>
          <w:lang w:val="fr-CA"/>
        </w:rPr>
        <w:t>(</w:t>
      </w:r>
      <w:r w:rsidRPr="00F60059">
        <w:rPr>
          <w:rFonts w:cs="Times New Roman"/>
          <w:szCs w:val="24"/>
          <w:lang w:val="fr-CA"/>
        </w:rPr>
        <w:t>par. 66</w:t>
      </w:r>
      <w:r w:rsidRPr="00F60059">
        <w:rPr>
          <w:rFonts w:cs="Times New Roman"/>
          <w:szCs w:val="24"/>
          <w:lang w:val="fr-CA"/>
        </w:rPr>
        <w:noBreakHyphen/>
        <w:t>67</w:t>
      </w:r>
      <w:r w:rsidR="007564CF" w:rsidRPr="00F60059">
        <w:rPr>
          <w:rFonts w:cs="Times New Roman"/>
          <w:szCs w:val="24"/>
          <w:lang w:val="fr-CA"/>
        </w:rPr>
        <w:t>)</w:t>
      </w:r>
      <w:r w:rsidRPr="00F60059">
        <w:rPr>
          <w:rFonts w:cs="Times New Roman"/>
          <w:szCs w:val="24"/>
          <w:lang w:val="fr-CA"/>
        </w:rPr>
        <w:t xml:space="preserv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lastRenderedPageBreak/>
        <w:t xml:space="preserve">Pour aider les décideurs à réaliser l’équilibre recherché, la Cour a dressé une liste détaillée (mais non exhaustive) de facteurs à prendre en compte dans l’exercice du pouvoir discrétionnaire : le libellé du texte de loi accordant le pouvoir de rendre l’ordonnance administrative, l’objet de la loi, l’existence d’un droit d’appel, les garanties offertes aux parties dans le cadre de l’instance administrative, l’expertise du décideur administratif, les circonstances ayant donné naissance à l’instance administrative initiale et le risque d’injustice </w:t>
      </w:r>
      <w:r w:rsidRPr="00F60059">
        <w:rPr>
          <w:rFonts w:cs="Times New Roman"/>
          <w:iCs/>
          <w:szCs w:val="24"/>
          <w:lang w:val="fr-CA"/>
        </w:rPr>
        <w:t>(</w:t>
      </w:r>
      <w:proofErr w:type="spellStart"/>
      <w:r w:rsidRPr="00F60059">
        <w:rPr>
          <w:rFonts w:cs="Times New Roman"/>
          <w:i/>
          <w:iCs/>
          <w:szCs w:val="24"/>
          <w:lang w:val="fr-CA"/>
        </w:rPr>
        <w:t>Danyluk</w:t>
      </w:r>
      <w:proofErr w:type="spellEnd"/>
      <w:r w:rsidR="007564CF" w:rsidRPr="00F60059">
        <w:rPr>
          <w:rFonts w:cs="Times New Roman"/>
          <w:iCs/>
          <w:szCs w:val="24"/>
          <w:lang w:val="fr-CA"/>
        </w:rPr>
        <w:t>,</w:t>
      </w:r>
      <w:r w:rsidRPr="00F60059">
        <w:rPr>
          <w:rFonts w:cs="Times New Roman"/>
          <w:iCs/>
          <w:szCs w:val="24"/>
          <w:lang w:val="fr-CA"/>
        </w:rPr>
        <w:t xml:space="preserve"> par. 68</w:t>
      </w:r>
      <w:r w:rsidRPr="00F60059">
        <w:rPr>
          <w:rFonts w:cs="Times New Roman"/>
          <w:iCs/>
          <w:szCs w:val="24"/>
          <w:lang w:val="fr-CA"/>
        </w:rPr>
        <w:noBreakHyphen/>
        <w:t xml:space="preserve">80).  Je fais incidemment remarquer que cette liste témoigne d’une interprétation du pouvoir discrétionnaire reconnu en </w:t>
      </w:r>
      <w:proofErr w:type="spellStart"/>
      <w:r w:rsidRPr="00F60059">
        <w:rPr>
          <w:rFonts w:cs="Times New Roman"/>
          <w:iCs/>
          <w:szCs w:val="24"/>
          <w:lang w:val="fr-CA"/>
        </w:rPr>
        <w:t>common</w:t>
      </w:r>
      <w:proofErr w:type="spellEnd"/>
      <w:r w:rsidRPr="00F60059">
        <w:rPr>
          <w:rFonts w:cs="Times New Roman"/>
          <w:iCs/>
          <w:szCs w:val="24"/>
          <w:lang w:val="fr-CA"/>
        </w:rPr>
        <w:t xml:space="preserve"> </w:t>
      </w:r>
      <w:proofErr w:type="spellStart"/>
      <w:r w:rsidRPr="00F60059">
        <w:rPr>
          <w:rFonts w:cs="Times New Roman"/>
          <w:iCs/>
          <w:szCs w:val="24"/>
          <w:lang w:val="fr-CA"/>
        </w:rPr>
        <w:t>law</w:t>
      </w:r>
      <w:proofErr w:type="spellEnd"/>
      <w:r w:rsidRPr="00F60059">
        <w:rPr>
          <w:rFonts w:cs="Times New Roman"/>
          <w:iCs/>
          <w:szCs w:val="24"/>
          <w:lang w:val="fr-CA"/>
        </w:rPr>
        <w:t xml:space="preserve"> beaucoup plus large que celle qu’envisage ma collègue la juge Abella à l’égard du </w:t>
      </w:r>
      <w:r w:rsidR="00E063ED">
        <w:rPr>
          <w:rFonts w:cs="Times New Roman"/>
          <w:iCs/>
          <w:szCs w:val="24"/>
          <w:lang w:val="fr-CA"/>
        </w:rPr>
        <w:t>pouvoir conféré par l’al. 27(1)</w:t>
      </w:r>
      <w:r w:rsidRPr="00F60059">
        <w:rPr>
          <w:rFonts w:cs="Times New Roman"/>
          <w:iCs/>
          <w:szCs w:val="24"/>
          <w:lang w:val="fr-CA"/>
        </w:rPr>
        <w:t>f).  Les trois facteurs qu’elle énumère au par. 37 de ses motifs se limitent aux questions de savoir si le décideur antérieur avait une compétence concurrente pour trancher la question, si la question était essentiellement la même et si l’instance antérieure a offert la possibilité aux plaignants (ou à leurs ayants droit) de connaître les éléments invoqués contre eux et de les réfuter.</w:t>
      </w:r>
    </w:p>
    <w:p w:rsidR="00E208A8" w:rsidRPr="00F60059" w:rsidRDefault="00E208A8" w:rsidP="00E208A8">
      <w:pPr>
        <w:pStyle w:val="ParaNoNdepar-AltN"/>
        <w:tabs>
          <w:tab w:val="clear" w:pos="1166"/>
          <w:tab w:val="num" w:pos="1152"/>
        </w:tabs>
        <w:rPr>
          <w:rFonts w:cs="Times New Roman"/>
          <w:iCs/>
          <w:szCs w:val="24"/>
          <w:lang w:val="fr-CA"/>
        </w:rPr>
      </w:pPr>
      <w:r w:rsidRPr="00F60059">
        <w:rPr>
          <w:rFonts w:cs="Times New Roman"/>
          <w:iCs/>
          <w:szCs w:val="24"/>
          <w:lang w:val="fr-CA"/>
        </w:rPr>
        <w:t xml:space="preserve">Il serait inutile d’examiner en détail les facteurs énumérés dans </w:t>
      </w:r>
      <w:proofErr w:type="spellStart"/>
      <w:r w:rsidRPr="00F60059">
        <w:rPr>
          <w:rFonts w:cs="Times New Roman"/>
          <w:i/>
          <w:iCs/>
          <w:szCs w:val="24"/>
          <w:lang w:val="fr-CA"/>
        </w:rPr>
        <w:t>Danyluk</w:t>
      </w:r>
      <w:proofErr w:type="spellEnd"/>
      <w:r w:rsidRPr="00F60059">
        <w:rPr>
          <w:rFonts w:cs="Times New Roman"/>
          <w:iCs/>
          <w:szCs w:val="24"/>
          <w:lang w:val="fr-CA"/>
        </w:rPr>
        <w:t xml:space="preserve">.  Il importe cependant de signaler que dans cette affaire, la Cour a refusé d’appliquer la </w:t>
      </w:r>
      <w:proofErr w:type="spellStart"/>
      <w:r w:rsidRPr="00F60059">
        <w:rPr>
          <w:rFonts w:cs="Times New Roman"/>
          <w:iCs/>
          <w:szCs w:val="24"/>
          <w:lang w:val="fr-CA"/>
        </w:rPr>
        <w:t>préclusion</w:t>
      </w:r>
      <w:proofErr w:type="spellEnd"/>
      <w:r w:rsidRPr="00F60059">
        <w:rPr>
          <w:rFonts w:cs="Times New Roman"/>
          <w:iCs/>
          <w:szCs w:val="24"/>
          <w:lang w:val="fr-CA"/>
        </w:rPr>
        <w:t xml:space="preserve"> même si M</w:t>
      </w:r>
      <w:r w:rsidRPr="00F60059">
        <w:rPr>
          <w:rFonts w:cs="Times New Roman"/>
          <w:iCs/>
          <w:szCs w:val="24"/>
          <w:vertAlign w:val="superscript"/>
          <w:lang w:val="fr-CA"/>
        </w:rPr>
        <w:t>me</w:t>
      </w:r>
      <w:r w:rsidRPr="00F60059">
        <w:rPr>
          <w:rFonts w:cs="Times New Roman"/>
          <w:iCs/>
          <w:szCs w:val="24"/>
          <w:lang w:val="fr-CA"/>
        </w:rPr>
        <w:t> </w:t>
      </w:r>
      <w:proofErr w:type="spellStart"/>
      <w:r w:rsidRPr="00F60059">
        <w:rPr>
          <w:rFonts w:cs="Times New Roman"/>
          <w:iCs/>
          <w:szCs w:val="24"/>
          <w:lang w:val="fr-CA"/>
        </w:rPr>
        <w:t>Danyluk</w:t>
      </w:r>
      <w:proofErr w:type="spellEnd"/>
      <w:r w:rsidRPr="00F60059">
        <w:rPr>
          <w:rFonts w:cs="Times New Roman"/>
          <w:iCs/>
          <w:szCs w:val="24"/>
          <w:lang w:val="fr-CA"/>
        </w:rPr>
        <w:t>, qui était représentée par avocat, n’avait pas demandé une révision administrative de la décision rendue par l’agente des normes d’emploi, et que l’injustice importante qu’elle alléguait était largement attribuable aux faits qu’elle n’avait pas été informée des allégations de l’employeur et n’avait pas e</w:t>
      </w:r>
      <w:r w:rsidR="007564CF" w:rsidRPr="00F60059">
        <w:rPr>
          <w:rFonts w:cs="Times New Roman"/>
          <w:iCs/>
          <w:szCs w:val="24"/>
          <w:lang w:val="fr-CA"/>
        </w:rPr>
        <w:t>u la possibilité d’y répondre (</w:t>
      </w:r>
      <w:r w:rsidRPr="00F60059">
        <w:rPr>
          <w:rFonts w:cs="Times New Roman"/>
          <w:iCs/>
          <w:szCs w:val="24"/>
          <w:lang w:val="fr-CA"/>
        </w:rPr>
        <w:t>par. 80</w:t>
      </w:r>
      <w:r w:rsidR="007564CF" w:rsidRPr="00F60059">
        <w:rPr>
          <w:rFonts w:cs="Times New Roman"/>
          <w:iCs/>
          <w:szCs w:val="24"/>
          <w:lang w:val="fr-CA"/>
        </w:rPr>
        <w:t>)</w:t>
      </w:r>
      <w:r w:rsidRPr="00F60059">
        <w:rPr>
          <w:rFonts w:cs="Times New Roman"/>
          <w:iCs/>
          <w:szCs w:val="24"/>
          <w:lang w:val="fr-CA"/>
        </w:rPr>
        <w:t xml:space="preserve">.  Autre élément important, selon la loi, l’agent </w:t>
      </w:r>
      <w:r w:rsidRPr="00F60059">
        <w:rPr>
          <w:rFonts w:cs="Times New Roman"/>
          <w:iCs/>
          <w:szCs w:val="24"/>
          <w:lang w:val="fr-CA"/>
        </w:rPr>
        <w:lastRenderedPageBreak/>
        <w:t>des normes d’emploi ne constituait pas un forum exclusif pour</w:t>
      </w:r>
      <w:r w:rsidR="007564CF" w:rsidRPr="00F60059">
        <w:rPr>
          <w:rFonts w:cs="Times New Roman"/>
          <w:iCs/>
          <w:szCs w:val="24"/>
          <w:lang w:val="fr-CA"/>
        </w:rPr>
        <w:t xml:space="preserve"> les plaintes de cette nature (</w:t>
      </w:r>
      <w:r w:rsidRPr="00F60059">
        <w:rPr>
          <w:rFonts w:cs="Times New Roman"/>
          <w:iCs/>
          <w:szCs w:val="24"/>
          <w:lang w:val="fr-CA"/>
        </w:rPr>
        <w:t>par. 69</w:t>
      </w:r>
      <w:r w:rsidR="007564CF" w:rsidRPr="00F60059">
        <w:rPr>
          <w:rFonts w:cs="Times New Roman"/>
          <w:iCs/>
          <w:szCs w:val="24"/>
          <w:lang w:val="fr-CA"/>
        </w:rPr>
        <w:t>)</w:t>
      </w:r>
      <w:r w:rsidRPr="00F60059">
        <w:rPr>
          <w:rFonts w:cs="Times New Roman"/>
          <w:iCs/>
          <w:szCs w:val="24"/>
          <w:lang w:val="fr-CA"/>
        </w:rPr>
        <w:t xml:space="preserve">.  On ne rend pas entièrement compte du raisonnement de la Cour dans </w:t>
      </w:r>
      <w:proofErr w:type="spellStart"/>
      <w:r w:rsidRPr="00F60059">
        <w:rPr>
          <w:rFonts w:cs="Times New Roman"/>
          <w:i/>
          <w:iCs/>
          <w:szCs w:val="24"/>
          <w:lang w:val="fr-CA"/>
        </w:rPr>
        <w:t>Danyluk</w:t>
      </w:r>
      <w:proofErr w:type="spellEnd"/>
      <w:r w:rsidRPr="00F60059">
        <w:rPr>
          <w:rFonts w:cs="Times New Roman"/>
          <w:iCs/>
          <w:szCs w:val="24"/>
          <w:lang w:val="fr-CA"/>
        </w:rPr>
        <w:t xml:space="preserve"> si l’on considère que cet arrêt souligne simplement l’importance du caractère définitif des décisions rendues dans les litiges.</w:t>
      </w:r>
    </w:p>
    <w:p w:rsidR="00E208A8" w:rsidRPr="00F60059" w:rsidRDefault="00E208A8" w:rsidP="00E208A8">
      <w:pPr>
        <w:pStyle w:val="ParaNoNdepar-AltN"/>
        <w:tabs>
          <w:tab w:val="clear" w:pos="1166"/>
          <w:tab w:val="num" w:pos="1152"/>
        </w:tabs>
        <w:rPr>
          <w:rFonts w:cs="Times New Roman"/>
          <w:i/>
          <w:iCs/>
          <w:szCs w:val="24"/>
          <w:lang w:val="fr-CA"/>
        </w:rPr>
      </w:pPr>
      <w:r w:rsidRPr="00F60059">
        <w:rPr>
          <w:rFonts w:cs="Times New Roman"/>
          <w:iCs/>
          <w:szCs w:val="24"/>
          <w:lang w:val="fr-CA"/>
        </w:rPr>
        <w:t xml:space="preserve">Quand à l’arrêt </w:t>
      </w:r>
      <w:r w:rsidRPr="00F60059">
        <w:rPr>
          <w:rFonts w:cs="Times New Roman"/>
          <w:i/>
          <w:iCs/>
          <w:szCs w:val="24"/>
          <w:lang w:val="fr-CA"/>
        </w:rPr>
        <w:t>Toronto (Ville) c. S.C.F.P.</w:t>
      </w:r>
      <w:r w:rsidRPr="00B929B4">
        <w:rPr>
          <w:rFonts w:cs="Times New Roman"/>
          <w:i/>
          <w:iCs/>
          <w:szCs w:val="24"/>
          <w:lang w:val="fr-CA"/>
        </w:rPr>
        <w:t>,</w:t>
      </w:r>
      <w:r w:rsidRPr="00F60059">
        <w:rPr>
          <w:rFonts w:cs="Times New Roman"/>
          <w:i/>
          <w:iCs/>
          <w:szCs w:val="24"/>
          <w:lang w:val="fr-CA"/>
        </w:rPr>
        <w:t xml:space="preserve"> section locale 79</w:t>
      </w:r>
      <w:r w:rsidRPr="00F60059">
        <w:rPr>
          <w:rFonts w:cs="Times New Roman"/>
          <w:iCs/>
          <w:szCs w:val="24"/>
          <w:lang w:val="fr-CA"/>
        </w:rPr>
        <w:t xml:space="preserve">, il portait sur le rôle de la doctrine de l’abus de procédure, dans un contexte d’arbitrage de grief en matière de congédiement où l’arbitre avait décidé de procéder à sa propre appréciation des faits ayant mené à la déclaration de culpabilité au criminel à l’origine du congédiement.  La juge </w:t>
      </w:r>
      <w:proofErr w:type="spellStart"/>
      <w:r w:rsidRPr="00F60059">
        <w:rPr>
          <w:rFonts w:cs="Times New Roman"/>
          <w:iCs/>
          <w:szCs w:val="24"/>
          <w:lang w:val="fr-CA"/>
        </w:rPr>
        <w:t>Arbour</w:t>
      </w:r>
      <w:proofErr w:type="spellEnd"/>
      <w:r w:rsidRPr="00F60059">
        <w:rPr>
          <w:rFonts w:cs="Times New Roman"/>
          <w:iCs/>
          <w:szCs w:val="24"/>
          <w:lang w:val="fr-CA"/>
        </w:rPr>
        <w:t xml:space="preserve"> (qui exposait l’opinion unanime de la Cour sur ce point) a articulé son analyse autour de l’importance de réaliser un « équilibre entre l’irrévocabilité, l’équité, l’efficacité et l’autorité des décisions judiciaires » (par. 15). Mentionnant l’arrêt </w:t>
      </w:r>
      <w:proofErr w:type="spellStart"/>
      <w:r w:rsidRPr="00F60059">
        <w:rPr>
          <w:rFonts w:cs="Times New Roman"/>
          <w:i/>
          <w:iCs/>
          <w:szCs w:val="24"/>
          <w:lang w:val="fr-CA"/>
        </w:rPr>
        <w:t>Danyluk</w:t>
      </w:r>
      <w:proofErr w:type="spellEnd"/>
      <w:r w:rsidRPr="00F60059">
        <w:rPr>
          <w:rFonts w:cs="Times New Roman"/>
          <w:iCs/>
          <w:szCs w:val="24"/>
          <w:lang w:val="fr-CA"/>
        </w:rPr>
        <w:t>, elle a reconnu que, dans de nombreuses circonstances, empêcher la réouverture d’un litige serait source d’</w:t>
      </w:r>
      <w:proofErr w:type="spellStart"/>
      <w:r w:rsidRPr="00F60059">
        <w:rPr>
          <w:rFonts w:cs="Times New Roman"/>
          <w:iCs/>
          <w:szCs w:val="24"/>
          <w:lang w:val="fr-CA"/>
        </w:rPr>
        <w:t>inéquité</w:t>
      </w:r>
      <w:proofErr w:type="spellEnd"/>
      <w:r w:rsidRPr="00F60059">
        <w:rPr>
          <w:rFonts w:cs="Times New Roman"/>
          <w:iCs/>
          <w:szCs w:val="24"/>
          <w:lang w:val="fr-CA"/>
        </w:rPr>
        <w:t xml:space="preserve">, et elle a affirmé que « [l]es facteurs discrétionnaires qui visent à empêcher que la </w:t>
      </w:r>
      <w:proofErr w:type="spellStart"/>
      <w:r w:rsidRPr="00F60059">
        <w:rPr>
          <w:rFonts w:cs="Times New Roman"/>
          <w:iCs/>
          <w:szCs w:val="24"/>
          <w:lang w:val="fr-CA"/>
        </w:rPr>
        <w:t>préclusion</w:t>
      </w:r>
      <w:proofErr w:type="spellEnd"/>
      <w:r w:rsidRPr="00F60059">
        <w:rPr>
          <w:rFonts w:cs="Times New Roman"/>
          <w:iCs/>
          <w:szCs w:val="24"/>
          <w:lang w:val="fr-CA"/>
        </w:rPr>
        <w:t xml:space="preserve"> découlant d’une question déjà tranchée ne produise des effets injustes, jouent également en matière d’abus de procédure pour éviter de p</w:t>
      </w:r>
      <w:r w:rsidR="007564CF" w:rsidRPr="00F60059">
        <w:rPr>
          <w:rFonts w:cs="Times New Roman"/>
          <w:iCs/>
          <w:szCs w:val="24"/>
          <w:lang w:val="fr-CA"/>
        </w:rPr>
        <w:t>areils résultats indésirables » (</w:t>
      </w:r>
      <w:r w:rsidRPr="00F60059">
        <w:rPr>
          <w:rFonts w:cs="Times New Roman"/>
          <w:iCs/>
          <w:szCs w:val="24"/>
          <w:lang w:val="fr-CA"/>
        </w:rPr>
        <w:t>par. 53</w:t>
      </w:r>
      <w:r w:rsidR="007564CF" w:rsidRPr="00F60059">
        <w:rPr>
          <w:rFonts w:cs="Times New Roman"/>
          <w:iCs/>
          <w:szCs w:val="24"/>
          <w:lang w:val="fr-CA"/>
        </w:rPr>
        <w:t>)</w:t>
      </w:r>
      <w:r w:rsidRPr="00F60059">
        <w:rPr>
          <w:rFonts w:cs="Times New Roman"/>
          <w:iCs/>
          <w:szCs w:val="24"/>
          <w:lang w:val="fr-CA"/>
        </w:rPr>
        <w:t xml:space="preserve">.  Elle a ainsi souligné l’importance de maintenir un juste équilibre entre l’équité et le caractère définitif de la décision, de même que la nécessité d’un exercice souple du pouvoir discrétionnaire en vue d’assurer le maintien de cet équilibre. </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lastRenderedPageBreak/>
        <w:t xml:space="preserve">En conclusion, la jurisprudence de notre Cour reconnaît qu’en contexte de droit administratif, il convient d’appliquer avec souplesse les doctrines de la </w:t>
      </w:r>
      <w:proofErr w:type="spellStart"/>
      <w:r w:rsidRPr="00F60059">
        <w:rPr>
          <w:rFonts w:cs="Times New Roman"/>
          <w:iCs/>
          <w:szCs w:val="24"/>
          <w:lang w:val="fr-CA"/>
        </w:rPr>
        <w:t>common</w:t>
      </w:r>
      <w:proofErr w:type="spellEnd"/>
      <w:r w:rsidRPr="00F60059">
        <w:rPr>
          <w:rFonts w:cs="Times New Roman"/>
          <w:iCs/>
          <w:szCs w:val="24"/>
          <w:lang w:val="fr-CA"/>
        </w:rPr>
        <w:t xml:space="preserve"> </w:t>
      </w:r>
      <w:proofErr w:type="spellStart"/>
      <w:r w:rsidRPr="00F60059">
        <w:rPr>
          <w:rFonts w:cs="Times New Roman"/>
          <w:iCs/>
          <w:szCs w:val="24"/>
          <w:lang w:val="fr-CA"/>
        </w:rPr>
        <w:t>law</w:t>
      </w:r>
      <w:proofErr w:type="spellEnd"/>
      <w:r w:rsidRPr="00F60059">
        <w:rPr>
          <w:rFonts w:cs="Times New Roman"/>
          <w:iCs/>
          <w:szCs w:val="24"/>
          <w:lang w:val="fr-CA"/>
        </w:rPr>
        <w:t xml:space="preserve"> relatives au caractère définitif des décisions afin de maintenir le nécessaire équilibre entre le caractère définitif et l’équité des décisions.  À cette fin, l’exercice du pouvoir discrétionnaire nécessite la prise en compte d’un large éventail de facteurs pertinents aux particularités du contexte administratif en cause et aux exigences à satisfaire pour que justice soit rendue dans les circonstances de chaque cas.  Le caractère définitif de la décision et l’obligation faite aux parties de recourir aux mécanismes de révision les plus appropriés sont certes des facteurs importants, mais ils ne sont </w:t>
      </w:r>
      <w:r w:rsidRPr="00B929B4">
        <w:rPr>
          <w:rFonts w:cs="Times New Roman"/>
          <w:i/>
          <w:iCs/>
          <w:szCs w:val="24"/>
          <w:lang w:val="fr-CA"/>
        </w:rPr>
        <w:t xml:space="preserve">ni </w:t>
      </w:r>
      <w:r w:rsidRPr="00F60059">
        <w:rPr>
          <w:rFonts w:cs="Times New Roman"/>
          <w:i/>
          <w:iCs/>
          <w:szCs w:val="24"/>
          <w:lang w:val="fr-CA"/>
        </w:rPr>
        <w:t>les seuls</w:t>
      </w:r>
      <w:r w:rsidRPr="00F60059">
        <w:rPr>
          <w:rFonts w:cs="Times New Roman"/>
          <w:iCs/>
          <w:szCs w:val="24"/>
          <w:lang w:val="fr-CA"/>
        </w:rPr>
        <w:t xml:space="preserve">, ni même les plus importants. </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t>Le contexte procédural complexe et changeant en cause en l’espèce illustre bien la nécessité du recours à ce pouvoir discrétionnaire « </w:t>
      </w:r>
      <w:r w:rsidRPr="00F60059">
        <w:rPr>
          <w:rFonts w:cs="Times New Roman"/>
          <w:szCs w:val="24"/>
          <w:lang w:val="fr-CA"/>
        </w:rPr>
        <w:t>nécessairement plus étendu »</w:t>
      </w:r>
      <w:r w:rsidRPr="00F60059">
        <w:rPr>
          <w:rFonts w:cs="Times New Roman"/>
          <w:iCs/>
          <w:szCs w:val="24"/>
          <w:lang w:val="fr-CA"/>
        </w:rPr>
        <w:t xml:space="preserve"> (les termes qu’emploie le juge </w:t>
      </w:r>
      <w:proofErr w:type="spellStart"/>
      <w:r w:rsidRPr="00F60059">
        <w:rPr>
          <w:rFonts w:cs="Times New Roman"/>
          <w:iCs/>
          <w:szCs w:val="24"/>
          <w:lang w:val="fr-CA"/>
        </w:rPr>
        <w:t>Binnie</w:t>
      </w:r>
      <w:proofErr w:type="spellEnd"/>
      <w:r w:rsidRPr="00F60059">
        <w:rPr>
          <w:rFonts w:cs="Times New Roman"/>
          <w:iCs/>
          <w:szCs w:val="24"/>
          <w:lang w:val="fr-CA"/>
        </w:rPr>
        <w:t xml:space="preserve"> au par. 62 de </w:t>
      </w:r>
      <w:proofErr w:type="spellStart"/>
      <w:r w:rsidRPr="00F60059">
        <w:rPr>
          <w:rFonts w:cs="Times New Roman"/>
          <w:i/>
          <w:iCs/>
          <w:szCs w:val="24"/>
          <w:lang w:val="fr-CA"/>
        </w:rPr>
        <w:t>Danyluk</w:t>
      </w:r>
      <w:proofErr w:type="spellEnd"/>
      <w:r w:rsidRPr="00F60059">
        <w:rPr>
          <w:rFonts w:cs="Times New Roman"/>
          <w:iCs/>
          <w:szCs w:val="24"/>
          <w:lang w:val="fr-CA"/>
        </w:rPr>
        <w:t>) lorsqu’il s’agit d’appliquer les doctrines relatives au caractère définitif des décisions en contexte de droit administratif.  Le cas de M. </w:t>
      </w:r>
      <w:proofErr w:type="spellStart"/>
      <w:r w:rsidRPr="00F60059">
        <w:rPr>
          <w:rFonts w:cs="Times New Roman"/>
          <w:iCs/>
          <w:szCs w:val="24"/>
          <w:lang w:val="fr-CA"/>
        </w:rPr>
        <w:t>Figliola</w:t>
      </w:r>
      <w:proofErr w:type="spellEnd"/>
      <w:r w:rsidRPr="00F60059">
        <w:rPr>
          <w:rFonts w:cs="Times New Roman"/>
          <w:iCs/>
          <w:szCs w:val="24"/>
          <w:lang w:val="fr-CA"/>
        </w:rPr>
        <w:t xml:space="preserve"> me servira d’exemple.</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t>Victime d’un accident du travail, M. </w:t>
      </w:r>
      <w:proofErr w:type="spellStart"/>
      <w:r w:rsidRPr="00F60059">
        <w:rPr>
          <w:rFonts w:cs="Times New Roman"/>
          <w:iCs/>
          <w:szCs w:val="24"/>
          <w:lang w:val="fr-CA"/>
        </w:rPr>
        <w:t>Figliola</w:t>
      </w:r>
      <w:proofErr w:type="spellEnd"/>
      <w:r w:rsidRPr="00F60059">
        <w:rPr>
          <w:rFonts w:cs="Times New Roman"/>
          <w:iCs/>
          <w:szCs w:val="24"/>
          <w:lang w:val="fr-CA"/>
        </w:rPr>
        <w:t xml:space="preserve"> s’est vu attribuer par la </w:t>
      </w:r>
      <w:r w:rsidR="007564CF" w:rsidRPr="00F60059">
        <w:rPr>
          <w:rFonts w:cs="Times New Roman"/>
          <w:iCs/>
          <w:szCs w:val="24"/>
          <w:lang w:val="fr-CA"/>
        </w:rPr>
        <w:t xml:space="preserve">Commission </w:t>
      </w:r>
      <w:r w:rsidRPr="00F60059">
        <w:rPr>
          <w:rFonts w:cs="Times New Roman"/>
          <w:iCs/>
          <w:szCs w:val="24"/>
          <w:lang w:val="fr-CA"/>
        </w:rPr>
        <w:t>une indemnité d’invalidité fonctionnelle de 3,5 %, soit 1 % pour douleur lombaire et 2,5 % pour douleur chronique, en application de la politique</w:t>
      </w:r>
      <w:r w:rsidRPr="00F60059">
        <w:rPr>
          <w:rFonts w:cs="Times New Roman"/>
          <w:szCs w:val="24"/>
          <w:lang w:val="fr-CA"/>
        </w:rPr>
        <w:t xml:space="preserve"> </w:t>
      </w:r>
      <w:r w:rsidRPr="00F60059">
        <w:rPr>
          <w:rFonts w:cs="Times New Roman"/>
          <w:iCs/>
          <w:szCs w:val="24"/>
          <w:lang w:val="fr-CA"/>
        </w:rPr>
        <w:t xml:space="preserve">39.01 de la Commission.  Il a porté la décision en appel devant la </w:t>
      </w:r>
      <w:proofErr w:type="spellStart"/>
      <w:r w:rsidRPr="00F60059">
        <w:rPr>
          <w:rFonts w:cs="Times New Roman"/>
          <w:iCs/>
          <w:szCs w:val="24"/>
          <w:lang w:val="fr-CA"/>
        </w:rPr>
        <w:t>Review</w:t>
      </w:r>
      <w:proofErr w:type="spellEnd"/>
      <w:r w:rsidRPr="00F60059">
        <w:rPr>
          <w:rFonts w:cs="Times New Roman"/>
          <w:iCs/>
          <w:szCs w:val="24"/>
          <w:lang w:val="fr-CA"/>
        </w:rPr>
        <w:t xml:space="preserve"> Division (la « Section de révision ») — un organe de révision interne — invoquant quatre points.  Il a allégué que sa lésion n’avait pas été évaluée comme il se doit sous le régime de la </w:t>
      </w:r>
      <w:r w:rsidRPr="00F60059">
        <w:rPr>
          <w:rFonts w:cs="Times New Roman"/>
          <w:iCs/>
          <w:szCs w:val="24"/>
          <w:lang w:val="fr-CA"/>
        </w:rPr>
        <w:lastRenderedPageBreak/>
        <w:t xml:space="preserve">politique et que la politique était manifestement déraisonnable, violait l’art. 15 de la </w:t>
      </w:r>
      <w:r w:rsidRPr="00F60059">
        <w:rPr>
          <w:rFonts w:cs="Times New Roman"/>
          <w:i/>
          <w:iCs/>
          <w:szCs w:val="24"/>
          <w:lang w:val="fr-CA"/>
        </w:rPr>
        <w:t>Charte canadienne des droits et libertés</w:t>
      </w:r>
      <w:r w:rsidRPr="00F60059">
        <w:rPr>
          <w:rFonts w:cs="Times New Roman"/>
          <w:iCs/>
          <w:szCs w:val="24"/>
          <w:lang w:val="fr-CA"/>
        </w:rPr>
        <w:t xml:space="preserve"> et contrevenait au </w:t>
      </w:r>
      <w:proofErr w:type="spellStart"/>
      <w:r w:rsidRPr="00F60059">
        <w:rPr>
          <w:rFonts w:cs="Times New Roman"/>
          <w:i/>
          <w:iCs/>
          <w:szCs w:val="24"/>
          <w:lang w:val="fr-CA"/>
        </w:rPr>
        <w:t>Human</w:t>
      </w:r>
      <w:proofErr w:type="spellEnd"/>
      <w:r w:rsidRPr="00F60059">
        <w:rPr>
          <w:rFonts w:cs="Times New Roman"/>
          <w:i/>
          <w:iCs/>
          <w:szCs w:val="24"/>
          <w:lang w:val="fr-CA"/>
        </w:rPr>
        <w:t xml:space="preserve"> </w:t>
      </w:r>
      <w:proofErr w:type="spellStart"/>
      <w:r w:rsidRPr="00F60059">
        <w:rPr>
          <w:rFonts w:cs="Times New Roman"/>
          <w:i/>
          <w:iCs/>
          <w:szCs w:val="24"/>
          <w:lang w:val="fr-CA"/>
        </w:rPr>
        <w:t>Rights</w:t>
      </w:r>
      <w:proofErr w:type="spellEnd"/>
      <w:r w:rsidRPr="00F60059">
        <w:rPr>
          <w:rFonts w:cs="Times New Roman"/>
          <w:i/>
          <w:iCs/>
          <w:szCs w:val="24"/>
          <w:lang w:val="fr-CA"/>
        </w:rPr>
        <w:t xml:space="preserve"> Code</w:t>
      </w:r>
      <w:r w:rsidRPr="00F60059">
        <w:rPr>
          <w:rFonts w:cs="Times New Roman"/>
          <w:iCs/>
          <w:szCs w:val="24"/>
          <w:lang w:val="fr-CA"/>
        </w:rPr>
        <w:t>.</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t xml:space="preserve">Sous réserve des règles de pratique et de procédure de la Commission, un agent de révision peut procéder à la révision de la décision de la manière qu’il estime indiquée : </w:t>
      </w:r>
      <w:proofErr w:type="spellStart"/>
      <w:r w:rsidRPr="00F60059">
        <w:rPr>
          <w:rFonts w:cs="Times New Roman"/>
          <w:i/>
          <w:iCs/>
          <w:szCs w:val="24"/>
          <w:lang w:val="fr-CA"/>
        </w:rPr>
        <w:t>Workers</w:t>
      </w:r>
      <w:proofErr w:type="spellEnd"/>
      <w:r w:rsidRPr="00F60059">
        <w:rPr>
          <w:rFonts w:cs="Times New Roman"/>
          <w:i/>
          <w:iCs/>
          <w:szCs w:val="24"/>
          <w:lang w:val="fr-CA"/>
        </w:rPr>
        <w:t xml:space="preserve"> Compensation </w:t>
      </w:r>
      <w:proofErr w:type="spellStart"/>
      <w:r w:rsidRPr="00F60059">
        <w:rPr>
          <w:rFonts w:cs="Times New Roman"/>
          <w:i/>
          <w:iCs/>
          <w:szCs w:val="24"/>
          <w:lang w:val="fr-CA"/>
        </w:rPr>
        <w:t>Act</w:t>
      </w:r>
      <w:proofErr w:type="spellEnd"/>
      <w:r w:rsidRPr="00F60059">
        <w:rPr>
          <w:rFonts w:cs="Times New Roman"/>
          <w:iCs/>
          <w:szCs w:val="24"/>
          <w:lang w:val="fr-CA"/>
        </w:rPr>
        <w:t>, R.S.B.C. 1996, ch. 492 (la « Loi »), par. 96.4(2).  Je crois comprendre qu’en l’espèce, il a mené une révision sur dossier, sur la base d’observations écrites soumises au nom de M. </w:t>
      </w:r>
      <w:proofErr w:type="spellStart"/>
      <w:r w:rsidRPr="00F60059">
        <w:rPr>
          <w:rFonts w:cs="Times New Roman"/>
          <w:iCs/>
          <w:szCs w:val="24"/>
          <w:lang w:val="fr-CA"/>
        </w:rPr>
        <w:t>Figliola</w:t>
      </w:r>
      <w:proofErr w:type="spellEnd"/>
      <w:r w:rsidRPr="00F60059">
        <w:rPr>
          <w:rFonts w:cs="Times New Roman"/>
          <w:iCs/>
          <w:szCs w:val="24"/>
          <w:lang w:val="fr-CA"/>
        </w:rPr>
        <w:t>.  L’employeur n’a pas participé à la révision et il n’y a pas eu d’audience.  Bien que l’agent de révision constituait sans aucun doute le seul forum approprié permettant l’examen de l’application de la politique de la Commission au cas de M. </w:t>
      </w:r>
      <w:proofErr w:type="spellStart"/>
      <w:r w:rsidRPr="00F60059">
        <w:rPr>
          <w:rFonts w:cs="Times New Roman"/>
          <w:iCs/>
          <w:szCs w:val="24"/>
          <w:lang w:val="fr-CA"/>
        </w:rPr>
        <w:t>Figliola</w:t>
      </w:r>
      <w:proofErr w:type="spellEnd"/>
      <w:r w:rsidRPr="00F60059">
        <w:rPr>
          <w:rFonts w:cs="Times New Roman"/>
          <w:iCs/>
          <w:szCs w:val="24"/>
          <w:lang w:val="fr-CA"/>
        </w:rPr>
        <w:t xml:space="preserve">, le rôle de l’agent de révision à l’égard des autres moyens invoqués par l’intéressé est beaucoup moins clair. </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t>L’agent de révision a considéré qu’il n’avait nullement compétence pour examiner la prétention de M. </w:t>
      </w:r>
      <w:proofErr w:type="spellStart"/>
      <w:r w:rsidRPr="00F60059">
        <w:rPr>
          <w:rFonts w:cs="Times New Roman"/>
          <w:iCs/>
          <w:szCs w:val="24"/>
          <w:lang w:val="fr-CA"/>
        </w:rPr>
        <w:t>Figliola</w:t>
      </w:r>
      <w:proofErr w:type="spellEnd"/>
      <w:r w:rsidRPr="00F60059">
        <w:rPr>
          <w:rFonts w:cs="Times New Roman"/>
          <w:iCs/>
          <w:szCs w:val="24"/>
          <w:lang w:val="fr-CA"/>
        </w:rPr>
        <w:t xml:space="preserve"> que la politique était manifestement déraisonnable.  Il a signalé qu’aux termes de l’art. 99 de la Loi, il était tenu d’appliquer une politique de la Commission.  Alors que le tribunal d’appel des décisions de la Section de révision avait compétence pour examiner la validité d’une politique (art. 251 de la Loi), même lui n’avait pas compétence pour [</w:t>
      </w:r>
      <w:r w:rsidRPr="00F60059">
        <w:rPr>
          <w:rFonts w:cs="Times New Roman"/>
          <w:iCs/>
          <w:smallCaps/>
          <w:szCs w:val="24"/>
          <w:lang w:val="fr-CA"/>
        </w:rPr>
        <w:t>traduction</w:t>
      </w:r>
      <w:r w:rsidRPr="00F60059">
        <w:rPr>
          <w:rFonts w:cs="Times New Roman"/>
          <w:iCs/>
          <w:szCs w:val="24"/>
          <w:lang w:val="fr-CA"/>
        </w:rPr>
        <w:t>] « rendre des décisions exécutoires sur la validité d’une politique.  Il doit plutôt déférer la question au conseil d’administration de la Commission, et il est lié par la décision de ce dernier quant au maintien ou à la modification de la politique » (</w:t>
      </w:r>
      <w:proofErr w:type="gramStart"/>
      <w:r w:rsidR="007564CF" w:rsidRPr="00F60059">
        <w:rPr>
          <w:rFonts w:cs="Times New Roman"/>
          <w:iCs/>
          <w:szCs w:val="24"/>
          <w:lang w:val="fr-CA"/>
        </w:rPr>
        <w:t>d.a.,</w:t>
      </w:r>
      <w:proofErr w:type="gramEnd"/>
      <w:r w:rsidRPr="00F60059">
        <w:rPr>
          <w:rFonts w:cs="Times New Roman"/>
          <w:iCs/>
          <w:szCs w:val="24"/>
          <w:lang w:val="fr-CA"/>
        </w:rPr>
        <w:t xml:space="preserve"> </w:t>
      </w:r>
      <w:r w:rsidR="007D56F1">
        <w:rPr>
          <w:rFonts w:cs="Times New Roman"/>
          <w:iCs/>
          <w:szCs w:val="24"/>
          <w:lang w:val="fr-CA"/>
        </w:rPr>
        <w:lastRenderedPageBreak/>
        <w:t>vol. I</w:t>
      </w:r>
      <w:r w:rsidRPr="00F60059">
        <w:rPr>
          <w:rFonts w:cs="Times New Roman"/>
          <w:iCs/>
          <w:szCs w:val="24"/>
          <w:lang w:val="fr-CA"/>
        </w:rPr>
        <w:t>, p. 6).  Suivant le raisonnement de l’agent de révision, [</w:t>
      </w:r>
      <w:r w:rsidRPr="00F60059">
        <w:rPr>
          <w:rFonts w:cs="Times New Roman"/>
          <w:iCs/>
          <w:smallCaps/>
          <w:szCs w:val="24"/>
          <w:lang w:val="fr-CA"/>
        </w:rPr>
        <w:t>traduction</w:t>
      </w:r>
      <w:r w:rsidRPr="00F60059">
        <w:rPr>
          <w:rFonts w:cs="Times New Roman"/>
          <w:iCs/>
          <w:szCs w:val="24"/>
          <w:lang w:val="fr-CA"/>
        </w:rPr>
        <w:t>] « </w:t>
      </w:r>
      <w:r w:rsidR="007564CF" w:rsidRPr="00F60059">
        <w:rPr>
          <w:rFonts w:cs="Times New Roman"/>
          <w:iCs/>
          <w:szCs w:val="24"/>
          <w:lang w:val="fr-CA"/>
        </w:rPr>
        <w:t>[</w:t>
      </w:r>
      <w:r w:rsidRPr="00F60059">
        <w:rPr>
          <w:rFonts w:cs="Times New Roman"/>
          <w:iCs/>
          <w:szCs w:val="24"/>
          <w:lang w:val="fr-CA"/>
        </w:rPr>
        <w:t>i</w:t>
      </w:r>
      <w:r w:rsidR="007564CF" w:rsidRPr="00F60059">
        <w:rPr>
          <w:rFonts w:cs="Times New Roman"/>
          <w:iCs/>
          <w:szCs w:val="24"/>
          <w:lang w:val="fr-CA"/>
        </w:rPr>
        <w:t>]</w:t>
      </w:r>
      <w:r w:rsidRPr="00F60059">
        <w:rPr>
          <w:rFonts w:cs="Times New Roman"/>
          <w:iCs/>
          <w:szCs w:val="24"/>
          <w:lang w:val="fr-CA"/>
        </w:rPr>
        <w:t>l serait étrange que le [tribunal d’appel] soit tenu de procéder ainsi mais que la Section de révision jouisse du pouvoir plus étendu d’examiner et de trancher la question de la validité d’une politique » (</w:t>
      </w:r>
      <w:r w:rsidRPr="00F60059">
        <w:rPr>
          <w:rFonts w:cs="Times New Roman"/>
          <w:i/>
          <w:iCs/>
          <w:szCs w:val="24"/>
          <w:lang w:val="fr-CA"/>
        </w:rPr>
        <w:t>ibid</w:t>
      </w:r>
      <w:r w:rsidRPr="00F60059">
        <w:rPr>
          <w:rFonts w:cs="Times New Roman"/>
          <w:iCs/>
          <w:szCs w:val="24"/>
          <w:lang w:val="fr-CA"/>
        </w:rPr>
        <w:t>.).  Il a donc conclu que la Section de révision ne dispose pas de la compétence générale de déclarer une politique de la Commission invalide en raison de son caractère manifestement déraisonnable.</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t>L’agent de révision a pareillement jugé qu’il n’avait pas compétence pour connaître de la prétention de M. </w:t>
      </w:r>
      <w:proofErr w:type="spellStart"/>
      <w:r w:rsidRPr="00F60059">
        <w:rPr>
          <w:rFonts w:cs="Times New Roman"/>
          <w:iCs/>
          <w:szCs w:val="24"/>
          <w:lang w:val="fr-CA"/>
        </w:rPr>
        <w:t>Figliola</w:t>
      </w:r>
      <w:proofErr w:type="spellEnd"/>
      <w:r w:rsidRPr="00F60059">
        <w:rPr>
          <w:rFonts w:cs="Times New Roman"/>
          <w:iCs/>
          <w:szCs w:val="24"/>
          <w:lang w:val="fr-CA"/>
        </w:rPr>
        <w:t xml:space="preserve"> fondée sur la </w:t>
      </w:r>
      <w:r w:rsidRPr="00F60059">
        <w:rPr>
          <w:rFonts w:cs="Times New Roman"/>
          <w:i/>
          <w:iCs/>
          <w:szCs w:val="24"/>
          <w:lang w:val="fr-CA"/>
        </w:rPr>
        <w:t>Charte</w:t>
      </w:r>
      <w:r w:rsidRPr="00F60059">
        <w:rPr>
          <w:rFonts w:cs="Times New Roman"/>
          <w:iCs/>
          <w:szCs w:val="24"/>
          <w:lang w:val="fr-CA"/>
        </w:rPr>
        <w:t xml:space="preserve">.  Ainsi qu’il l’a exposé, </w:t>
      </w:r>
    </w:p>
    <w:p w:rsidR="00E208A8" w:rsidRPr="00F60059" w:rsidRDefault="00E208A8" w:rsidP="00B8202E">
      <w:pPr>
        <w:pStyle w:val="Citation-AltC"/>
        <w:keepNext/>
        <w:ind w:hanging="1166"/>
        <w:rPr>
          <w:bCs/>
          <w:iCs/>
          <w:lang w:val="fr-CA"/>
        </w:rPr>
      </w:pPr>
      <w:r w:rsidRPr="00F60059">
        <w:rPr>
          <w:iCs/>
          <w:lang w:val="fr-CA"/>
        </w:rPr>
        <w:tab/>
        <w:t>[</w:t>
      </w:r>
      <w:r w:rsidRPr="00F60059">
        <w:rPr>
          <w:iCs/>
          <w:smallCaps/>
          <w:lang w:val="fr-CA"/>
        </w:rPr>
        <w:t>traduction</w:t>
      </w:r>
      <w:r w:rsidRPr="00F60059">
        <w:rPr>
          <w:iCs/>
          <w:lang w:val="fr-CA"/>
        </w:rPr>
        <w:t>]</w:t>
      </w:r>
      <w:r w:rsidR="007564CF" w:rsidRPr="00F60059">
        <w:rPr>
          <w:iCs/>
          <w:lang w:val="fr-CA"/>
        </w:rPr>
        <w:t xml:space="preserve"> </w:t>
      </w:r>
      <w:r w:rsidRPr="00F60059">
        <w:rPr>
          <w:iCs/>
          <w:lang w:val="fr-CA"/>
        </w:rPr>
        <w:t>[</w:t>
      </w:r>
      <w:proofErr w:type="gramStart"/>
      <w:r w:rsidRPr="00F60059">
        <w:rPr>
          <w:iCs/>
          <w:lang w:val="fr-CA"/>
        </w:rPr>
        <w:t>l]</w:t>
      </w:r>
      <w:proofErr w:type="gramEnd"/>
      <w:r w:rsidRPr="00F60059">
        <w:rPr>
          <w:iCs/>
          <w:lang w:val="fr-CA"/>
        </w:rPr>
        <w:t xml:space="preserve">es modifications </w:t>
      </w:r>
      <w:r w:rsidRPr="00F60059">
        <w:rPr>
          <w:lang w:val="fr-CA"/>
        </w:rPr>
        <w:t>apportées</w:t>
      </w:r>
      <w:r w:rsidRPr="00F60059">
        <w:rPr>
          <w:iCs/>
          <w:lang w:val="fr-CA"/>
        </w:rPr>
        <w:t xml:space="preserve"> à la Loi par l’</w:t>
      </w:r>
      <w:r w:rsidR="007564CF" w:rsidRPr="00F60059">
        <w:rPr>
          <w:i/>
          <w:iCs/>
          <w:lang w:val="fr-CA"/>
        </w:rPr>
        <w:t xml:space="preserve">Administrative </w:t>
      </w:r>
      <w:proofErr w:type="spellStart"/>
      <w:r w:rsidR="007564CF" w:rsidRPr="00F60059">
        <w:rPr>
          <w:i/>
          <w:iCs/>
          <w:lang w:val="fr-CA"/>
        </w:rPr>
        <w:t>Tribunal</w:t>
      </w:r>
      <w:r w:rsidRPr="00F60059">
        <w:rPr>
          <w:i/>
          <w:iCs/>
          <w:lang w:val="fr-CA"/>
        </w:rPr>
        <w:t>s</w:t>
      </w:r>
      <w:proofErr w:type="spellEnd"/>
      <w:r w:rsidRPr="00F60059">
        <w:rPr>
          <w:i/>
          <w:iCs/>
          <w:lang w:val="fr-CA"/>
        </w:rPr>
        <w:t xml:space="preserve"> </w:t>
      </w:r>
      <w:proofErr w:type="spellStart"/>
      <w:r w:rsidRPr="00F60059">
        <w:rPr>
          <w:i/>
          <w:iCs/>
          <w:lang w:val="fr-CA"/>
        </w:rPr>
        <w:t>Act</w:t>
      </w:r>
      <w:proofErr w:type="spellEnd"/>
      <w:r w:rsidRPr="00F60059">
        <w:rPr>
          <w:iCs/>
          <w:lang w:val="fr-CA"/>
        </w:rPr>
        <w:t xml:space="preserve"> (</w:t>
      </w:r>
      <w:r w:rsidR="00B929B4">
        <w:rPr>
          <w:iCs/>
          <w:lang w:val="fr-CA"/>
        </w:rPr>
        <w:t>l’</w:t>
      </w:r>
      <w:r w:rsidRPr="00F60059">
        <w:rPr>
          <w:iCs/>
          <w:lang w:val="fr-CA"/>
        </w:rPr>
        <w:t>« </w:t>
      </w:r>
      <w:r w:rsidRPr="00F60059">
        <w:rPr>
          <w:i/>
          <w:iCs/>
          <w:lang w:val="fr-CA"/>
        </w:rPr>
        <w:t>ATA</w:t>
      </w:r>
      <w:r w:rsidRPr="00F60059">
        <w:rPr>
          <w:iCs/>
          <w:lang w:val="fr-CA"/>
        </w:rPr>
        <w:t xml:space="preserve"> ») sont entrées en vigueur le 3 décembre 2004. Selon ces modifications, le [tribunal d’appel] n’a pas compétence en matière constitutionnelle [. . .]  Bien que la Section de révision n’y soit pas expressément mentionnée, elle voit dans ce changement l’indication de l’intention du législateur de ne pas lui donner compétence en matière constitutionnelle, y compris à l’égard des questions relatives à la </w:t>
      </w:r>
      <w:r w:rsidRPr="00F60059">
        <w:rPr>
          <w:i/>
          <w:iCs/>
          <w:lang w:val="fr-CA"/>
        </w:rPr>
        <w:t>Charte</w:t>
      </w:r>
      <w:r w:rsidR="007564CF" w:rsidRPr="00F60059">
        <w:rPr>
          <w:iCs/>
          <w:lang w:val="fr-CA"/>
        </w:rPr>
        <w:t>. [</w:t>
      </w:r>
      <w:proofErr w:type="gramStart"/>
      <w:r w:rsidR="007564CF" w:rsidRPr="00F60059">
        <w:rPr>
          <w:iCs/>
          <w:lang w:val="fr-CA"/>
        </w:rPr>
        <w:t>d.a</w:t>
      </w:r>
      <w:r w:rsidRPr="00F60059">
        <w:rPr>
          <w:iCs/>
          <w:lang w:val="fr-CA"/>
        </w:rPr>
        <w:t>.</w:t>
      </w:r>
      <w:r w:rsidR="007564CF" w:rsidRPr="00F60059">
        <w:rPr>
          <w:iCs/>
          <w:lang w:val="fr-CA"/>
        </w:rPr>
        <w:t>,</w:t>
      </w:r>
      <w:proofErr w:type="gramEnd"/>
      <w:r w:rsidR="007564CF" w:rsidRPr="00F60059">
        <w:rPr>
          <w:iCs/>
          <w:lang w:val="fr-CA"/>
        </w:rPr>
        <w:t xml:space="preserve"> vol. I, p. 7]</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t>Enfin, pour ce qui est des prétentions de M. </w:t>
      </w:r>
      <w:proofErr w:type="spellStart"/>
      <w:r w:rsidRPr="00F60059">
        <w:rPr>
          <w:rFonts w:cs="Times New Roman"/>
          <w:iCs/>
          <w:szCs w:val="24"/>
          <w:lang w:val="fr-CA"/>
        </w:rPr>
        <w:t>Figliola</w:t>
      </w:r>
      <w:proofErr w:type="spellEnd"/>
      <w:r w:rsidRPr="00F60059">
        <w:rPr>
          <w:rFonts w:cs="Times New Roman"/>
          <w:iCs/>
          <w:szCs w:val="24"/>
          <w:lang w:val="fr-CA"/>
        </w:rPr>
        <w:t xml:space="preserve"> relevant du </w:t>
      </w:r>
      <w:proofErr w:type="spellStart"/>
      <w:r w:rsidRPr="00F60059">
        <w:rPr>
          <w:rFonts w:cs="Times New Roman"/>
          <w:i/>
          <w:iCs/>
          <w:szCs w:val="24"/>
          <w:lang w:val="fr-CA"/>
        </w:rPr>
        <w:t>Human</w:t>
      </w:r>
      <w:proofErr w:type="spellEnd"/>
      <w:r w:rsidRPr="00F60059">
        <w:rPr>
          <w:rFonts w:cs="Times New Roman"/>
          <w:i/>
          <w:iCs/>
          <w:szCs w:val="24"/>
          <w:lang w:val="fr-CA"/>
        </w:rPr>
        <w:t xml:space="preserve"> </w:t>
      </w:r>
      <w:proofErr w:type="spellStart"/>
      <w:r w:rsidRPr="00F60059">
        <w:rPr>
          <w:rFonts w:cs="Times New Roman"/>
          <w:i/>
          <w:iCs/>
          <w:szCs w:val="24"/>
          <w:lang w:val="fr-CA"/>
        </w:rPr>
        <w:t>Rights</w:t>
      </w:r>
      <w:proofErr w:type="spellEnd"/>
      <w:r w:rsidRPr="00F60059">
        <w:rPr>
          <w:rFonts w:cs="Times New Roman"/>
          <w:i/>
          <w:iCs/>
          <w:szCs w:val="24"/>
          <w:lang w:val="fr-CA"/>
        </w:rPr>
        <w:t xml:space="preserve"> Code</w:t>
      </w:r>
      <w:r w:rsidRPr="00F60059">
        <w:rPr>
          <w:rFonts w:cs="Times New Roman"/>
          <w:iCs/>
          <w:szCs w:val="24"/>
          <w:lang w:val="fr-CA"/>
        </w:rPr>
        <w:t xml:space="preserve">, l’agent de révision, s’appuyant sur l’arrêt </w:t>
      </w:r>
      <w:proofErr w:type="spellStart"/>
      <w:r w:rsidRPr="00F60059">
        <w:rPr>
          <w:rFonts w:cs="Times New Roman"/>
          <w:i/>
          <w:iCs/>
          <w:szCs w:val="24"/>
          <w:lang w:val="fr-CA"/>
        </w:rPr>
        <w:t>Tranchemontagne</w:t>
      </w:r>
      <w:proofErr w:type="spellEnd"/>
      <w:r w:rsidRPr="00F60059">
        <w:rPr>
          <w:rFonts w:cs="Times New Roman"/>
          <w:i/>
          <w:iCs/>
          <w:szCs w:val="24"/>
          <w:lang w:val="fr-CA"/>
        </w:rPr>
        <w:t xml:space="preserve"> c. Ontario (Directeur du Programme ontarien de soutien aux personnes handicapées</w:t>
      </w:r>
      <w:r w:rsidRPr="00F60059">
        <w:rPr>
          <w:rFonts w:cs="Times New Roman"/>
          <w:i/>
          <w:szCs w:val="24"/>
          <w:lang w:val="fr-CA"/>
        </w:rPr>
        <w:t>)</w:t>
      </w:r>
      <w:r w:rsidRPr="00F60059">
        <w:rPr>
          <w:rFonts w:cs="Times New Roman"/>
          <w:iCs/>
          <w:szCs w:val="24"/>
          <w:lang w:val="fr-CA"/>
        </w:rPr>
        <w:t xml:space="preserve">, 2006 CSC 14, [2006] 1 R.C.S. 513, a conclu que, compte tenu de l’art. 4 du </w:t>
      </w:r>
      <w:r w:rsidRPr="00F60059">
        <w:rPr>
          <w:rFonts w:cs="Times New Roman"/>
          <w:i/>
          <w:iCs/>
          <w:szCs w:val="24"/>
          <w:lang w:val="fr-CA"/>
        </w:rPr>
        <w:t>Code</w:t>
      </w:r>
      <w:r w:rsidRPr="00F60059">
        <w:rPr>
          <w:rFonts w:cs="Times New Roman"/>
          <w:iCs/>
          <w:szCs w:val="24"/>
          <w:lang w:val="fr-CA"/>
        </w:rPr>
        <w:t xml:space="preserve"> portant que ses dispositions ont préséance en cas de conflit avec celles de toute autre loi, il était habilité à refuser d’appliquer la politique si elle entrait en conflit avec le </w:t>
      </w:r>
      <w:r w:rsidRPr="00F60059">
        <w:rPr>
          <w:rFonts w:cs="Times New Roman"/>
          <w:i/>
          <w:iCs/>
          <w:szCs w:val="24"/>
          <w:lang w:val="fr-CA"/>
        </w:rPr>
        <w:t>Code</w:t>
      </w:r>
      <w:r w:rsidRPr="00F60059">
        <w:rPr>
          <w:rFonts w:cs="Times New Roman"/>
          <w:iCs/>
          <w:szCs w:val="24"/>
          <w:lang w:val="fr-CA"/>
        </w:rPr>
        <w:t xml:space="preserve">.  Si j’interprète correctement la décision de l’agent de révision, il a estimé que l’obligation légale qui lui est faite d’appliquer les politiques de la Commission </w:t>
      </w:r>
      <w:r w:rsidRPr="00F60059">
        <w:rPr>
          <w:rFonts w:cs="Times New Roman"/>
          <w:iCs/>
          <w:szCs w:val="24"/>
          <w:lang w:val="fr-CA"/>
        </w:rPr>
        <w:lastRenderedPageBreak/>
        <w:t xml:space="preserve">(art. 99 de la Loi) entre en conflit avec les dispositions du </w:t>
      </w:r>
      <w:r w:rsidRPr="00F60059">
        <w:rPr>
          <w:rFonts w:cs="Times New Roman"/>
          <w:i/>
          <w:iCs/>
          <w:szCs w:val="24"/>
          <w:lang w:val="fr-CA"/>
        </w:rPr>
        <w:t>Code</w:t>
      </w:r>
      <w:r w:rsidRPr="00F60059">
        <w:rPr>
          <w:rFonts w:cs="Times New Roman"/>
          <w:iCs/>
          <w:szCs w:val="24"/>
          <w:lang w:val="fr-CA"/>
        </w:rPr>
        <w:t xml:space="preserve"> interdisant la discrimination.  Toutefois, vu la préséance du </w:t>
      </w:r>
      <w:r w:rsidRPr="00F60059">
        <w:rPr>
          <w:rFonts w:cs="Times New Roman"/>
          <w:i/>
          <w:iCs/>
          <w:szCs w:val="24"/>
          <w:lang w:val="fr-CA"/>
        </w:rPr>
        <w:t>Code</w:t>
      </w:r>
      <w:r w:rsidRPr="00F60059">
        <w:rPr>
          <w:rFonts w:cs="Times New Roman"/>
          <w:iCs/>
          <w:szCs w:val="24"/>
          <w:lang w:val="fr-CA"/>
        </w:rPr>
        <w:t xml:space="preserve"> en cas de conflit, l’agent de révision peut se prononcer sur la conformité de la politique au </w:t>
      </w:r>
      <w:r w:rsidRPr="00F60059">
        <w:rPr>
          <w:rFonts w:cs="Times New Roman"/>
          <w:i/>
          <w:iCs/>
          <w:szCs w:val="24"/>
          <w:lang w:val="fr-CA"/>
        </w:rPr>
        <w:t>Code</w:t>
      </w:r>
      <w:r w:rsidRPr="00F60059">
        <w:rPr>
          <w:rFonts w:cs="Times New Roman"/>
          <w:iCs/>
          <w:szCs w:val="24"/>
          <w:lang w:val="fr-CA"/>
        </w:rPr>
        <w:t xml:space="preserve">.  En supposant, sans en décider, que ce raisonnement soit juste et que l’agent de révision peut donc évaluer la conformité de la politique au </w:t>
      </w:r>
      <w:r w:rsidRPr="00F60059">
        <w:rPr>
          <w:rFonts w:cs="Times New Roman"/>
          <w:i/>
          <w:iCs/>
          <w:szCs w:val="24"/>
          <w:lang w:val="fr-CA"/>
        </w:rPr>
        <w:t>Code</w:t>
      </w:r>
      <w:r w:rsidRPr="00F60059">
        <w:rPr>
          <w:rFonts w:cs="Times New Roman"/>
          <w:iCs/>
          <w:szCs w:val="24"/>
          <w:lang w:val="fr-CA"/>
        </w:rPr>
        <w:t xml:space="preserve">, il reste quand même à déterminer la réparation qu’il peut accorder s’il conclut que la politique n’est pas conforme au </w:t>
      </w:r>
      <w:r w:rsidRPr="00F60059">
        <w:rPr>
          <w:rFonts w:cs="Times New Roman"/>
          <w:i/>
          <w:iCs/>
          <w:szCs w:val="24"/>
          <w:lang w:val="fr-CA"/>
        </w:rPr>
        <w:t>Code</w:t>
      </w:r>
      <w:r w:rsidRPr="00F60059">
        <w:rPr>
          <w:rFonts w:cs="Times New Roman"/>
          <w:iCs/>
          <w:szCs w:val="24"/>
          <w:lang w:val="fr-CA"/>
        </w:rPr>
        <w:t xml:space="preserve">.  La Commission plaide que le processus appliqué pendant la période en cause (bien qu’il n’ait été officialisé que plus tard) était le suivant : l’agent de révision qui estimait </w:t>
      </w:r>
      <w:proofErr w:type="gramStart"/>
      <w:r w:rsidRPr="00F60059">
        <w:rPr>
          <w:rFonts w:cs="Times New Roman"/>
          <w:iCs/>
          <w:szCs w:val="24"/>
          <w:lang w:val="fr-CA"/>
        </w:rPr>
        <w:t>fondé</w:t>
      </w:r>
      <w:proofErr w:type="gramEnd"/>
      <w:r w:rsidRPr="00F60059">
        <w:rPr>
          <w:rFonts w:cs="Times New Roman"/>
          <w:iCs/>
          <w:szCs w:val="24"/>
          <w:lang w:val="fr-CA"/>
        </w:rPr>
        <w:t xml:space="preserve"> le motif de contestation relevant du </w:t>
      </w:r>
      <w:r w:rsidRPr="00F60059">
        <w:rPr>
          <w:rFonts w:cs="Times New Roman"/>
          <w:i/>
          <w:iCs/>
          <w:szCs w:val="24"/>
          <w:lang w:val="fr-CA"/>
        </w:rPr>
        <w:t>Code</w:t>
      </w:r>
      <w:r w:rsidRPr="00F60059">
        <w:rPr>
          <w:rFonts w:cs="Times New Roman"/>
          <w:iCs/>
          <w:szCs w:val="24"/>
          <w:lang w:val="fr-CA"/>
        </w:rPr>
        <w:t xml:space="preserve"> n’appliquait pas la politique.  La politique </w:t>
      </w:r>
      <w:proofErr w:type="spellStart"/>
      <w:r w:rsidRPr="00F60059">
        <w:rPr>
          <w:rFonts w:cs="Times New Roman"/>
          <w:iCs/>
          <w:szCs w:val="24"/>
          <w:lang w:val="fr-CA"/>
        </w:rPr>
        <w:t>elle</w:t>
      </w:r>
      <w:r w:rsidRPr="00F60059">
        <w:rPr>
          <w:rFonts w:cs="Times New Roman"/>
          <w:iCs/>
          <w:szCs w:val="24"/>
          <w:lang w:val="fr-CA"/>
        </w:rPr>
        <w:noBreakHyphen/>
        <w:t>même</w:t>
      </w:r>
      <w:proofErr w:type="spellEnd"/>
      <w:r w:rsidRPr="00F60059">
        <w:rPr>
          <w:rFonts w:cs="Times New Roman"/>
          <w:iCs/>
          <w:szCs w:val="24"/>
          <w:lang w:val="fr-CA"/>
        </w:rPr>
        <w:t xml:space="preserve"> était déférée à la Commission [</w:t>
      </w:r>
      <w:r w:rsidRPr="00F60059">
        <w:rPr>
          <w:rFonts w:cs="Times New Roman"/>
          <w:iCs/>
          <w:smallCaps/>
          <w:szCs w:val="24"/>
          <w:lang w:val="fr-CA"/>
        </w:rPr>
        <w:t>traduction</w:t>
      </w:r>
      <w:r w:rsidRPr="00F60059">
        <w:rPr>
          <w:rFonts w:cs="Times New Roman"/>
          <w:iCs/>
          <w:szCs w:val="24"/>
          <w:lang w:val="fr-CA"/>
        </w:rPr>
        <w:t>] « qui devait lui accorder une priorité élevée dans le plan de travail de la Pol</w:t>
      </w:r>
      <w:r w:rsidR="007564CF" w:rsidRPr="00F60059">
        <w:rPr>
          <w:rFonts w:cs="Times New Roman"/>
          <w:iCs/>
          <w:szCs w:val="24"/>
          <w:lang w:val="fr-CA"/>
        </w:rPr>
        <w:t xml:space="preserve">icy and </w:t>
      </w:r>
      <w:proofErr w:type="spellStart"/>
      <w:r w:rsidR="007564CF" w:rsidRPr="00F60059">
        <w:rPr>
          <w:rFonts w:cs="Times New Roman"/>
          <w:iCs/>
          <w:szCs w:val="24"/>
          <w:lang w:val="fr-CA"/>
        </w:rPr>
        <w:t>Research</w:t>
      </w:r>
      <w:proofErr w:type="spellEnd"/>
      <w:r w:rsidR="007564CF" w:rsidRPr="00F60059">
        <w:rPr>
          <w:rFonts w:cs="Times New Roman"/>
          <w:iCs/>
          <w:szCs w:val="24"/>
          <w:lang w:val="fr-CA"/>
        </w:rPr>
        <w:t xml:space="preserve"> Division » (</w:t>
      </w:r>
      <w:proofErr w:type="gramStart"/>
      <w:r w:rsidR="007564CF" w:rsidRPr="00F60059">
        <w:rPr>
          <w:rFonts w:cs="Times New Roman"/>
          <w:iCs/>
          <w:szCs w:val="24"/>
          <w:lang w:val="fr-CA"/>
        </w:rPr>
        <w:t>m.a</w:t>
      </w:r>
      <w:r w:rsidRPr="00F60059">
        <w:rPr>
          <w:rFonts w:cs="Times New Roman"/>
          <w:iCs/>
          <w:szCs w:val="24"/>
          <w:lang w:val="fr-CA"/>
        </w:rPr>
        <w:t>.,</w:t>
      </w:r>
      <w:proofErr w:type="gramEnd"/>
      <w:r w:rsidRPr="00F60059">
        <w:rPr>
          <w:rFonts w:cs="Times New Roman"/>
          <w:iCs/>
          <w:szCs w:val="24"/>
          <w:lang w:val="fr-CA"/>
        </w:rPr>
        <w:t xml:space="preserve"> par. 59).</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t xml:space="preserve">Ainsi que je l’ai déjà indiqué, les décisions des agents de révision sont susceptibles d’appel devant le </w:t>
      </w:r>
      <w:proofErr w:type="spellStart"/>
      <w:r w:rsidRPr="00F60059">
        <w:rPr>
          <w:rFonts w:cs="Times New Roman"/>
          <w:iCs/>
          <w:szCs w:val="24"/>
          <w:lang w:val="fr-CA"/>
        </w:rPr>
        <w:t>Workers</w:t>
      </w:r>
      <w:proofErr w:type="spellEnd"/>
      <w:r w:rsidRPr="00F60059">
        <w:rPr>
          <w:rFonts w:cs="Times New Roman"/>
          <w:iCs/>
          <w:szCs w:val="24"/>
          <w:lang w:val="fr-CA"/>
        </w:rPr>
        <w:t xml:space="preserve">’ Compensation </w:t>
      </w:r>
      <w:proofErr w:type="spellStart"/>
      <w:r w:rsidRPr="00F60059">
        <w:rPr>
          <w:rFonts w:cs="Times New Roman"/>
          <w:iCs/>
          <w:szCs w:val="24"/>
          <w:lang w:val="fr-CA"/>
        </w:rPr>
        <w:t>Appeal</w:t>
      </w:r>
      <w:proofErr w:type="spellEnd"/>
      <w:r w:rsidRPr="00F60059">
        <w:rPr>
          <w:rFonts w:cs="Times New Roman"/>
          <w:iCs/>
          <w:szCs w:val="24"/>
          <w:lang w:val="fr-CA"/>
        </w:rPr>
        <w:t xml:space="preserve"> Tribunal (« WCAT »), sous réserve de certaines exclusions non pertinentes en l’espèce. M. </w:t>
      </w:r>
      <w:proofErr w:type="spellStart"/>
      <w:r w:rsidRPr="00F60059">
        <w:rPr>
          <w:rFonts w:cs="Times New Roman"/>
          <w:iCs/>
          <w:szCs w:val="24"/>
          <w:lang w:val="fr-CA"/>
        </w:rPr>
        <w:t>Figliola</w:t>
      </w:r>
      <w:proofErr w:type="spellEnd"/>
      <w:r w:rsidRPr="00F60059">
        <w:rPr>
          <w:rFonts w:cs="Times New Roman"/>
          <w:iCs/>
          <w:szCs w:val="24"/>
          <w:lang w:val="fr-CA"/>
        </w:rPr>
        <w:t xml:space="preserve"> s’est adressé à ce tribunal et une date d’audience a été fixée.  Il convient de signaler que le WCAT jouit d’un pouvoir de révision étendu lui permettant notamment de recevoir des éléments de preuve; il n’entend pas un appel au sens usuel de ce terme </w:t>
      </w:r>
      <w:r w:rsidR="007564CF" w:rsidRPr="00F60059">
        <w:rPr>
          <w:rFonts w:cs="Times New Roman"/>
          <w:iCs/>
          <w:szCs w:val="24"/>
          <w:lang w:val="fr-CA"/>
        </w:rPr>
        <w:t>(</w:t>
      </w:r>
      <w:r w:rsidRPr="00F60059">
        <w:rPr>
          <w:rFonts w:cs="Times New Roman"/>
          <w:iCs/>
          <w:szCs w:val="24"/>
          <w:lang w:val="fr-CA"/>
        </w:rPr>
        <w:t>art. 245 à 250 de la Loi</w:t>
      </w:r>
      <w:r w:rsidR="007564CF" w:rsidRPr="00F60059">
        <w:rPr>
          <w:rFonts w:cs="Times New Roman"/>
          <w:iCs/>
          <w:szCs w:val="24"/>
          <w:lang w:val="fr-CA"/>
        </w:rPr>
        <w:t>)</w:t>
      </w:r>
      <w:r w:rsidRPr="00F60059">
        <w:rPr>
          <w:rFonts w:cs="Times New Roman"/>
          <w:iCs/>
          <w:szCs w:val="24"/>
          <w:lang w:val="fr-CA"/>
        </w:rPr>
        <w:t>.  Par suite de modifications apportées à l’</w:t>
      </w:r>
      <w:r w:rsidRPr="00F60059">
        <w:rPr>
          <w:rFonts w:cs="Times New Roman"/>
          <w:i/>
          <w:iCs/>
          <w:szCs w:val="24"/>
          <w:lang w:val="fr-CA"/>
        </w:rPr>
        <w:t xml:space="preserve">Administrative </w:t>
      </w:r>
      <w:proofErr w:type="spellStart"/>
      <w:r w:rsidRPr="00F60059">
        <w:rPr>
          <w:rFonts w:cs="Times New Roman"/>
          <w:i/>
          <w:iCs/>
          <w:szCs w:val="24"/>
          <w:lang w:val="fr-CA"/>
        </w:rPr>
        <w:t>Tribunals</w:t>
      </w:r>
      <w:proofErr w:type="spellEnd"/>
      <w:r w:rsidRPr="00F60059">
        <w:rPr>
          <w:rFonts w:cs="Times New Roman"/>
          <w:i/>
          <w:iCs/>
          <w:szCs w:val="24"/>
          <w:lang w:val="fr-CA"/>
        </w:rPr>
        <w:t xml:space="preserve"> </w:t>
      </w:r>
      <w:proofErr w:type="spellStart"/>
      <w:r w:rsidRPr="00F60059">
        <w:rPr>
          <w:rFonts w:cs="Times New Roman"/>
          <w:i/>
          <w:iCs/>
          <w:szCs w:val="24"/>
          <w:lang w:val="fr-CA"/>
        </w:rPr>
        <w:t>Act</w:t>
      </w:r>
      <w:proofErr w:type="spellEnd"/>
      <w:r w:rsidRPr="00F60059">
        <w:rPr>
          <w:rFonts w:cs="Times New Roman"/>
          <w:iCs/>
          <w:szCs w:val="24"/>
          <w:lang w:val="fr-CA"/>
        </w:rPr>
        <w:t>, S.B.C. 2004, ch. 45 (« </w:t>
      </w:r>
      <w:r w:rsidRPr="00F60059">
        <w:rPr>
          <w:rFonts w:cs="Times New Roman"/>
          <w:i/>
          <w:iCs/>
          <w:szCs w:val="24"/>
          <w:lang w:val="fr-CA"/>
        </w:rPr>
        <w:t>ATA</w:t>
      </w:r>
      <w:r w:rsidRPr="00F60059">
        <w:rPr>
          <w:rFonts w:cs="Times New Roman"/>
          <w:iCs/>
          <w:szCs w:val="24"/>
          <w:lang w:val="fr-CA"/>
        </w:rPr>
        <w:t xml:space="preserve"> ») et entrées en vigueur le 18 octobre 2007, toutefois, le WCAT n’a plus compétence pour appliquer le </w:t>
      </w:r>
      <w:r w:rsidRPr="00F60059">
        <w:rPr>
          <w:rFonts w:cs="Times New Roman"/>
          <w:i/>
          <w:iCs/>
          <w:szCs w:val="24"/>
          <w:lang w:val="fr-CA"/>
        </w:rPr>
        <w:t>Code</w:t>
      </w:r>
      <w:r w:rsidRPr="00F60059">
        <w:rPr>
          <w:rFonts w:cs="Times New Roman"/>
          <w:iCs/>
          <w:szCs w:val="24"/>
          <w:lang w:val="fr-CA"/>
        </w:rPr>
        <w:t xml:space="preserve"> : </w:t>
      </w:r>
      <w:r w:rsidRPr="00F60059">
        <w:rPr>
          <w:rFonts w:cs="Times New Roman"/>
          <w:i/>
          <w:szCs w:val="24"/>
          <w:lang w:val="fr-CA"/>
        </w:rPr>
        <w:t xml:space="preserve">Attorney General </w:t>
      </w:r>
      <w:proofErr w:type="spellStart"/>
      <w:r w:rsidRPr="00F60059">
        <w:rPr>
          <w:rFonts w:cs="Times New Roman"/>
          <w:i/>
          <w:szCs w:val="24"/>
          <w:lang w:val="fr-CA"/>
        </w:rPr>
        <w:t>Statutes</w:t>
      </w:r>
      <w:proofErr w:type="spellEnd"/>
      <w:r w:rsidRPr="00F60059">
        <w:rPr>
          <w:rFonts w:cs="Times New Roman"/>
          <w:i/>
          <w:szCs w:val="24"/>
          <w:lang w:val="fr-CA"/>
        </w:rPr>
        <w:t xml:space="preserve"> </w:t>
      </w:r>
      <w:proofErr w:type="spellStart"/>
      <w:r w:rsidRPr="00F60059">
        <w:rPr>
          <w:rFonts w:cs="Times New Roman"/>
          <w:i/>
          <w:szCs w:val="24"/>
          <w:lang w:val="fr-CA"/>
        </w:rPr>
        <w:t>Amendment</w:t>
      </w:r>
      <w:proofErr w:type="spellEnd"/>
      <w:r w:rsidRPr="00F60059">
        <w:rPr>
          <w:rFonts w:cs="Times New Roman"/>
          <w:i/>
          <w:szCs w:val="24"/>
          <w:lang w:val="fr-CA"/>
        </w:rPr>
        <w:t xml:space="preserve"> </w:t>
      </w:r>
      <w:proofErr w:type="spellStart"/>
      <w:r w:rsidRPr="00F60059">
        <w:rPr>
          <w:rFonts w:cs="Times New Roman"/>
          <w:i/>
          <w:szCs w:val="24"/>
          <w:lang w:val="fr-CA"/>
        </w:rPr>
        <w:t>Act</w:t>
      </w:r>
      <w:proofErr w:type="spellEnd"/>
      <w:r w:rsidRPr="00F60059">
        <w:rPr>
          <w:rFonts w:cs="Times New Roman"/>
          <w:i/>
          <w:szCs w:val="24"/>
          <w:lang w:val="fr-CA"/>
        </w:rPr>
        <w:t>, 2007</w:t>
      </w:r>
      <w:r w:rsidRPr="00F60059">
        <w:rPr>
          <w:rFonts w:cs="Times New Roman"/>
          <w:szCs w:val="24"/>
          <w:lang w:val="fr-CA"/>
        </w:rPr>
        <w:t>, S.B.C. 2007, ch. 14, art. 3</w:t>
      </w:r>
      <w:r w:rsidRPr="00F60059">
        <w:rPr>
          <w:rFonts w:cs="Times New Roman"/>
          <w:iCs/>
          <w:szCs w:val="24"/>
          <w:lang w:val="fr-CA"/>
        </w:rPr>
        <w:t>.  Ainsi, M. </w:t>
      </w:r>
      <w:proofErr w:type="spellStart"/>
      <w:r w:rsidRPr="00F60059">
        <w:rPr>
          <w:rFonts w:cs="Times New Roman"/>
          <w:iCs/>
          <w:szCs w:val="24"/>
          <w:lang w:val="fr-CA"/>
        </w:rPr>
        <w:t>Figliola</w:t>
      </w:r>
      <w:proofErr w:type="spellEnd"/>
      <w:r w:rsidRPr="00F60059">
        <w:rPr>
          <w:rFonts w:cs="Times New Roman"/>
          <w:iCs/>
          <w:szCs w:val="24"/>
          <w:lang w:val="fr-CA"/>
        </w:rPr>
        <w:t xml:space="preserve"> a perdu, à </w:t>
      </w:r>
      <w:proofErr w:type="spellStart"/>
      <w:r w:rsidRPr="00F60059">
        <w:rPr>
          <w:rFonts w:cs="Times New Roman"/>
          <w:iCs/>
          <w:szCs w:val="24"/>
          <w:lang w:val="fr-CA"/>
        </w:rPr>
        <w:lastRenderedPageBreak/>
        <w:t>mi</w:t>
      </w:r>
      <w:r w:rsidRPr="00F60059">
        <w:rPr>
          <w:rFonts w:cs="Times New Roman"/>
          <w:iCs/>
          <w:szCs w:val="24"/>
          <w:lang w:val="fr-CA"/>
        </w:rPr>
        <w:noBreakHyphen/>
        <w:t>parcours</w:t>
      </w:r>
      <w:proofErr w:type="spellEnd"/>
      <w:r w:rsidRPr="00F60059">
        <w:rPr>
          <w:rFonts w:cs="Times New Roman"/>
          <w:iCs/>
          <w:szCs w:val="24"/>
          <w:lang w:val="fr-CA"/>
        </w:rPr>
        <w:t xml:space="preserve">, le droit de soumettre à un examen approfondi reposant sur des éléments de preuve le </w:t>
      </w:r>
      <w:proofErr w:type="spellStart"/>
      <w:r w:rsidRPr="00F60059">
        <w:rPr>
          <w:rFonts w:cs="Times New Roman"/>
          <w:iCs/>
          <w:szCs w:val="24"/>
          <w:lang w:val="fr-CA"/>
        </w:rPr>
        <w:t>bien</w:t>
      </w:r>
      <w:r w:rsidRPr="00F60059">
        <w:rPr>
          <w:rFonts w:cs="Times New Roman"/>
          <w:iCs/>
          <w:szCs w:val="24"/>
          <w:lang w:val="fr-CA"/>
        </w:rPr>
        <w:noBreakHyphen/>
        <w:t>fondé</w:t>
      </w:r>
      <w:proofErr w:type="spellEnd"/>
      <w:r w:rsidRPr="00F60059">
        <w:rPr>
          <w:rFonts w:cs="Times New Roman"/>
          <w:iCs/>
          <w:szCs w:val="24"/>
          <w:lang w:val="fr-CA"/>
        </w:rPr>
        <w:t xml:space="preserve"> de la décision de l’agent de révision relative à la question des droits de la personne.</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t xml:space="preserve">La question de l’effet de ces modifications législatives sur la compétence des agents de révision en matière d’examen des dispositions du </w:t>
      </w:r>
      <w:r w:rsidRPr="00F60059">
        <w:rPr>
          <w:rFonts w:cs="Times New Roman"/>
          <w:i/>
          <w:iCs/>
          <w:szCs w:val="24"/>
          <w:lang w:val="fr-CA"/>
        </w:rPr>
        <w:t>Code</w:t>
      </w:r>
      <w:r w:rsidRPr="00F60059">
        <w:rPr>
          <w:rFonts w:cs="Times New Roman"/>
          <w:iCs/>
          <w:szCs w:val="24"/>
          <w:lang w:val="fr-CA"/>
        </w:rPr>
        <w:t xml:space="preserve"> ne nous a pas été soumise.  Il semble toutefois que le retrait de la compétence du WCAT en cette matière permette de tenir le même raisonnement que celui qui a amené l’agent de révision à se déclarer sans compétence pour connaître de la prétention suivant laquelle la politique de la Commission est manifestement déraisonnable ou qu’elle est contraire à la </w:t>
      </w:r>
      <w:r w:rsidRPr="00F60059">
        <w:rPr>
          <w:rFonts w:cs="Times New Roman"/>
          <w:i/>
          <w:iCs/>
          <w:szCs w:val="24"/>
          <w:lang w:val="fr-CA"/>
        </w:rPr>
        <w:t>Charte</w:t>
      </w:r>
      <w:r w:rsidRPr="00F60059">
        <w:rPr>
          <w:rFonts w:cs="Times New Roman"/>
          <w:iCs/>
          <w:szCs w:val="24"/>
          <w:lang w:val="fr-CA"/>
        </w:rPr>
        <w:t>.  Comme je l’ai indiqué, l’agent de révision a considéré que, puisque le WCAT ne possède pas cette compétence, la Section de révision ne peut elle non plus l’exercer.  Il semble donc (bien que je n’aie pas à me prononcer sur ce point) que les modifications apportées à l’</w:t>
      </w:r>
      <w:r w:rsidRPr="00F60059">
        <w:rPr>
          <w:rFonts w:cs="Times New Roman"/>
          <w:i/>
          <w:iCs/>
          <w:szCs w:val="24"/>
          <w:lang w:val="fr-CA"/>
        </w:rPr>
        <w:t>ATA</w:t>
      </w:r>
      <w:r w:rsidRPr="00F60059">
        <w:rPr>
          <w:rFonts w:cs="Times New Roman"/>
          <w:iCs/>
          <w:szCs w:val="24"/>
          <w:lang w:val="fr-CA"/>
        </w:rPr>
        <w:t xml:space="preserve"> qui ont aboli la compétence du WCAT relative au </w:t>
      </w:r>
      <w:r w:rsidRPr="00F60059">
        <w:rPr>
          <w:rFonts w:cs="Times New Roman"/>
          <w:i/>
          <w:iCs/>
          <w:szCs w:val="24"/>
          <w:lang w:val="fr-CA"/>
        </w:rPr>
        <w:t>Code</w:t>
      </w:r>
      <w:r w:rsidRPr="00F60059">
        <w:rPr>
          <w:rFonts w:cs="Times New Roman"/>
          <w:iCs/>
          <w:szCs w:val="24"/>
          <w:lang w:val="fr-CA"/>
        </w:rPr>
        <w:t xml:space="preserve"> ont non seulement supprimé le droit à une révision du </w:t>
      </w:r>
      <w:proofErr w:type="spellStart"/>
      <w:r w:rsidRPr="00F60059">
        <w:rPr>
          <w:rFonts w:cs="Times New Roman"/>
          <w:iCs/>
          <w:szCs w:val="24"/>
          <w:lang w:val="fr-CA"/>
        </w:rPr>
        <w:t>bien</w:t>
      </w:r>
      <w:r w:rsidRPr="00F60059">
        <w:rPr>
          <w:rFonts w:cs="Times New Roman"/>
          <w:iCs/>
          <w:szCs w:val="24"/>
          <w:lang w:val="fr-CA"/>
        </w:rPr>
        <w:noBreakHyphen/>
        <w:t>fondé</w:t>
      </w:r>
      <w:proofErr w:type="spellEnd"/>
      <w:r w:rsidRPr="00F60059">
        <w:rPr>
          <w:rFonts w:cs="Times New Roman"/>
          <w:iCs/>
          <w:szCs w:val="24"/>
          <w:lang w:val="fr-CA"/>
        </w:rPr>
        <w:t xml:space="preserve"> des décisions mais ont également enlevé aux agents de révision le pouvoir d’examiner la conformité au </w:t>
      </w:r>
      <w:r w:rsidRPr="00F60059">
        <w:rPr>
          <w:rFonts w:cs="Times New Roman"/>
          <w:i/>
          <w:iCs/>
          <w:szCs w:val="24"/>
          <w:lang w:val="fr-CA"/>
        </w:rPr>
        <w:t>Code</w:t>
      </w:r>
      <w:r w:rsidRPr="00F60059">
        <w:rPr>
          <w:rFonts w:cs="Times New Roman"/>
          <w:iCs/>
          <w:szCs w:val="24"/>
          <w:lang w:val="fr-CA"/>
        </w:rPr>
        <w:t xml:space="preserve"> des politiques de la Commission, pouvoir que l’agent avait exercé en l’espèce.  Je reconnais que la Commission soutient le contraire, affirmant que malgré le retrait de la compétence du WCAT relative au </w:t>
      </w:r>
      <w:r w:rsidRPr="00F60059">
        <w:rPr>
          <w:rFonts w:cs="Times New Roman"/>
          <w:i/>
          <w:iCs/>
          <w:szCs w:val="24"/>
          <w:lang w:val="fr-CA"/>
        </w:rPr>
        <w:t>Code</w:t>
      </w:r>
      <w:r w:rsidRPr="00F60059">
        <w:rPr>
          <w:rFonts w:cs="Times New Roman"/>
          <w:iCs/>
          <w:szCs w:val="24"/>
          <w:lang w:val="fr-CA"/>
        </w:rPr>
        <w:t xml:space="preserve">, les agents de révision peuvent encore déterminer si les politiques de la Commission sont conformes au </w:t>
      </w:r>
      <w:r w:rsidRPr="00F60059">
        <w:rPr>
          <w:rFonts w:cs="Times New Roman"/>
          <w:i/>
          <w:iCs/>
          <w:szCs w:val="24"/>
          <w:lang w:val="fr-CA"/>
        </w:rPr>
        <w:t>Code</w:t>
      </w:r>
      <w:r w:rsidRPr="00F60059">
        <w:rPr>
          <w:rFonts w:cs="Times New Roman"/>
          <w:iCs/>
          <w:szCs w:val="24"/>
          <w:lang w:val="fr-CA"/>
        </w:rPr>
        <w:t xml:space="preserve">.  Il ne m’appartient pas ici de trancher cette question.  Une chose est certaine toutefois.  Les modifications visaient à annuler l’effet de la décision de notre Cour dans </w:t>
      </w:r>
      <w:proofErr w:type="spellStart"/>
      <w:r w:rsidRPr="00F60059">
        <w:rPr>
          <w:rFonts w:cs="Times New Roman"/>
          <w:i/>
          <w:iCs/>
          <w:szCs w:val="24"/>
          <w:lang w:val="fr-CA"/>
        </w:rPr>
        <w:t>Tranchemontagne</w:t>
      </w:r>
      <w:proofErr w:type="spellEnd"/>
      <w:r w:rsidRPr="00F60059">
        <w:rPr>
          <w:rFonts w:cs="Times New Roman"/>
          <w:szCs w:val="24"/>
          <w:lang w:val="fr-CA"/>
        </w:rPr>
        <w:t xml:space="preserve"> relativement à la compétence du WCAT en matière de droits </w:t>
      </w:r>
      <w:r w:rsidRPr="00F60059">
        <w:rPr>
          <w:rFonts w:cs="Times New Roman"/>
          <w:szCs w:val="24"/>
          <w:lang w:val="fr-CA"/>
        </w:rPr>
        <w:lastRenderedPageBreak/>
        <w:t>de la personne (</w:t>
      </w:r>
      <w:proofErr w:type="spellStart"/>
      <w:r w:rsidRPr="00F60059">
        <w:rPr>
          <w:rFonts w:cs="Times New Roman"/>
          <w:szCs w:val="24"/>
          <w:lang w:val="fr-CA"/>
        </w:rPr>
        <w:t>Colombie</w:t>
      </w:r>
      <w:r w:rsidRPr="00F60059">
        <w:rPr>
          <w:rFonts w:cs="Times New Roman"/>
          <w:szCs w:val="24"/>
          <w:lang w:val="fr-CA"/>
        </w:rPr>
        <w:noBreakHyphen/>
        <w:t>Britannique</w:t>
      </w:r>
      <w:proofErr w:type="spellEnd"/>
      <w:r w:rsidRPr="00F60059">
        <w:rPr>
          <w:rFonts w:cs="Times New Roman"/>
          <w:szCs w:val="24"/>
          <w:lang w:val="fr-CA"/>
        </w:rPr>
        <w:t xml:space="preserve">, </w:t>
      </w:r>
      <w:r w:rsidRPr="00F60059">
        <w:rPr>
          <w:rFonts w:cs="Times New Roman"/>
          <w:i/>
          <w:szCs w:val="24"/>
          <w:lang w:val="fr-CA"/>
        </w:rPr>
        <w:t xml:space="preserve">Official </w:t>
      </w:r>
      <w:r w:rsidR="007564CF" w:rsidRPr="00F60059">
        <w:rPr>
          <w:rFonts w:cs="Times New Roman"/>
          <w:i/>
          <w:szCs w:val="24"/>
          <w:lang w:val="fr-CA"/>
        </w:rPr>
        <w:t xml:space="preserve">Report of </w:t>
      </w:r>
      <w:proofErr w:type="spellStart"/>
      <w:r w:rsidRPr="00F60059">
        <w:rPr>
          <w:rFonts w:cs="Times New Roman"/>
          <w:i/>
          <w:szCs w:val="24"/>
          <w:lang w:val="fr-CA"/>
        </w:rPr>
        <w:t>Debates</w:t>
      </w:r>
      <w:proofErr w:type="spellEnd"/>
      <w:r w:rsidRPr="00F60059">
        <w:rPr>
          <w:rFonts w:cs="Times New Roman"/>
          <w:i/>
          <w:szCs w:val="24"/>
          <w:lang w:val="fr-CA"/>
        </w:rPr>
        <w:t xml:space="preserve"> of the </w:t>
      </w:r>
      <w:proofErr w:type="spellStart"/>
      <w:r w:rsidRPr="00F60059">
        <w:rPr>
          <w:rFonts w:cs="Times New Roman"/>
          <w:i/>
          <w:szCs w:val="24"/>
          <w:lang w:val="fr-CA"/>
        </w:rPr>
        <w:t>Legislative</w:t>
      </w:r>
      <w:proofErr w:type="spellEnd"/>
      <w:r w:rsidRPr="00F60059">
        <w:rPr>
          <w:rFonts w:cs="Times New Roman"/>
          <w:i/>
          <w:szCs w:val="24"/>
          <w:lang w:val="fr-CA"/>
        </w:rPr>
        <w:t xml:space="preserve"> </w:t>
      </w:r>
      <w:proofErr w:type="spellStart"/>
      <w:r w:rsidRPr="00F60059">
        <w:rPr>
          <w:rFonts w:cs="Times New Roman"/>
          <w:i/>
          <w:szCs w:val="24"/>
          <w:lang w:val="fr-CA"/>
        </w:rPr>
        <w:t>Assembly</w:t>
      </w:r>
      <w:proofErr w:type="spellEnd"/>
      <w:r w:rsidRPr="00F60059">
        <w:rPr>
          <w:rFonts w:cs="Times New Roman"/>
          <w:szCs w:val="24"/>
          <w:lang w:val="fr-CA"/>
        </w:rPr>
        <w:t xml:space="preserve"> </w:t>
      </w:r>
      <w:r w:rsidRPr="00F60059">
        <w:rPr>
          <w:rFonts w:cs="Times New Roman"/>
          <w:i/>
          <w:szCs w:val="24"/>
          <w:lang w:val="fr-CA"/>
        </w:rPr>
        <w:t>(</w:t>
      </w:r>
      <w:proofErr w:type="spellStart"/>
      <w:r w:rsidRPr="00F60059">
        <w:rPr>
          <w:rFonts w:cs="Times New Roman"/>
          <w:i/>
          <w:szCs w:val="24"/>
          <w:lang w:val="fr-CA"/>
        </w:rPr>
        <w:t>Hansard</w:t>
      </w:r>
      <w:proofErr w:type="spellEnd"/>
      <w:r w:rsidRPr="00F60059">
        <w:rPr>
          <w:rFonts w:cs="Times New Roman"/>
          <w:i/>
          <w:szCs w:val="24"/>
          <w:lang w:val="fr-CA"/>
        </w:rPr>
        <w:t>)</w:t>
      </w:r>
      <w:r w:rsidRPr="00F60059">
        <w:rPr>
          <w:rFonts w:cs="Times New Roman"/>
          <w:szCs w:val="24"/>
          <w:lang w:val="fr-CA"/>
        </w:rPr>
        <w:t>, vol. 21, 3</w:t>
      </w:r>
      <w:r w:rsidRPr="00F60059">
        <w:rPr>
          <w:rFonts w:cs="Times New Roman"/>
          <w:szCs w:val="24"/>
          <w:vertAlign w:val="superscript"/>
          <w:lang w:val="fr-CA"/>
        </w:rPr>
        <w:t>e</w:t>
      </w:r>
      <w:r w:rsidRPr="00F60059">
        <w:rPr>
          <w:rFonts w:cs="Times New Roman"/>
          <w:szCs w:val="24"/>
          <w:lang w:val="fr-CA"/>
        </w:rPr>
        <w:t xml:space="preserve"> </w:t>
      </w:r>
      <w:proofErr w:type="spellStart"/>
      <w:r w:rsidRPr="00F60059">
        <w:rPr>
          <w:rFonts w:cs="Times New Roman"/>
          <w:szCs w:val="24"/>
          <w:lang w:val="fr-CA"/>
        </w:rPr>
        <w:t>sess</w:t>
      </w:r>
      <w:proofErr w:type="spellEnd"/>
      <w:r w:rsidRPr="00F60059">
        <w:rPr>
          <w:rFonts w:cs="Times New Roman"/>
          <w:szCs w:val="24"/>
          <w:lang w:val="fr-CA"/>
        </w:rPr>
        <w:t>., 38</w:t>
      </w:r>
      <w:r w:rsidRPr="00F60059">
        <w:rPr>
          <w:rFonts w:cs="Times New Roman"/>
          <w:szCs w:val="24"/>
          <w:vertAlign w:val="superscript"/>
          <w:lang w:val="fr-CA"/>
        </w:rPr>
        <w:t>e</w:t>
      </w:r>
      <w:r w:rsidRPr="00F60059">
        <w:rPr>
          <w:rFonts w:cs="Times New Roman"/>
          <w:szCs w:val="24"/>
          <w:lang w:val="fr-CA"/>
        </w:rPr>
        <w:t xml:space="preserve"> </w:t>
      </w:r>
      <w:proofErr w:type="spellStart"/>
      <w:r w:rsidRPr="00F60059">
        <w:rPr>
          <w:rFonts w:cs="Times New Roman"/>
          <w:szCs w:val="24"/>
          <w:lang w:val="fr-CA"/>
        </w:rPr>
        <w:t>lég</w:t>
      </w:r>
      <w:proofErr w:type="spellEnd"/>
      <w:r w:rsidRPr="00F60059">
        <w:rPr>
          <w:rFonts w:cs="Times New Roman"/>
          <w:szCs w:val="24"/>
          <w:lang w:val="fr-CA"/>
        </w:rPr>
        <w:t>., 16 mai 2007, p. 8088</w:t>
      </w:r>
      <w:r w:rsidRPr="00F60059">
        <w:rPr>
          <w:rFonts w:cs="Times New Roman"/>
          <w:szCs w:val="24"/>
          <w:lang w:val="fr-CA"/>
        </w:rPr>
        <w:noBreakHyphen/>
        <w:t>8093).</w:t>
      </w:r>
    </w:p>
    <w:p w:rsidR="00E208A8" w:rsidRPr="00F60059" w:rsidRDefault="00E208A8" w:rsidP="00E208A8">
      <w:pPr>
        <w:pStyle w:val="ParaNoNdepar-AltN"/>
        <w:tabs>
          <w:tab w:val="clear" w:pos="1166"/>
          <w:tab w:val="num" w:pos="1152"/>
        </w:tabs>
        <w:rPr>
          <w:rFonts w:cs="Times New Roman"/>
          <w:bCs/>
          <w:iCs/>
          <w:szCs w:val="24"/>
          <w:lang w:val="fr-CA"/>
        </w:rPr>
      </w:pPr>
      <w:r w:rsidRPr="00F60059">
        <w:rPr>
          <w:rFonts w:cs="Times New Roman"/>
          <w:iCs/>
          <w:szCs w:val="24"/>
          <w:lang w:val="fr-CA"/>
        </w:rPr>
        <w:t>Je tiens simplement à montrer le caractère passablement complexe, changeant et, parfois, incertain du mécanisme prévu par le régime d’indemnisation des accidents du travail pour trancher dans le présent cas la question des droits de la personne.  Selon moi, cela montre qu’il n’est que sage d’appliquer avec beaucoup de souplesse, dans le contexte du droit administratif, les doctrines relatives au caractère définitif des décisions.  La décision dont la Commission invoque le caractère définitif en l’espèce est en fait une décision interne de révision rendue à la suite d’un examen sur dossier auquel l’employeur n’a pas pris part.  La compétence de l’agent de révision d’examiner la question était à tout le moins contestable.  (M. </w:t>
      </w:r>
      <w:proofErr w:type="spellStart"/>
      <w:r w:rsidRPr="00F60059">
        <w:rPr>
          <w:rFonts w:cs="Times New Roman"/>
          <w:iCs/>
          <w:szCs w:val="24"/>
          <w:lang w:val="fr-CA"/>
        </w:rPr>
        <w:t>Figliola</w:t>
      </w:r>
      <w:proofErr w:type="spellEnd"/>
      <w:r w:rsidRPr="00F60059">
        <w:rPr>
          <w:rFonts w:cs="Times New Roman"/>
          <w:iCs/>
          <w:szCs w:val="24"/>
          <w:lang w:val="fr-CA"/>
        </w:rPr>
        <w:t xml:space="preserve"> a bien sûr soutenu devant l’agent de révision que </w:t>
      </w:r>
      <w:proofErr w:type="spellStart"/>
      <w:r w:rsidRPr="00F60059">
        <w:rPr>
          <w:rFonts w:cs="Times New Roman"/>
          <w:iCs/>
          <w:szCs w:val="24"/>
          <w:lang w:val="fr-CA"/>
        </w:rPr>
        <w:t>celui</w:t>
      </w:r>
      <w:r w:rsidRPr="00F60059">
        <w:rPr>
          <w:rFonts w:cs="Times New Roman"/>
          <w:iCs/>
          <w:szCs w:val="24"/>
          <w:lang w:val="fr-CA"/>
        </w:rPr>
        <w:noBreakHyphen/>
        <w:t>ci</w:t>
      </w:r>
      <w:proofErr w:type="spellEnd"/>
      <w:r w:rsidRPr="00F60059">
        <w:rPr>
          <w:rFonts w:cs="Times New Roman"/>
          <w:iCs/>
          <w:szCs w:val="24"/>
          <w:lang w:val="fr-CA"/>
        </w:rPr>
        <w:t xml:space="preserve"> avait compétence.)  La réparation qui pouvait être accordée au terme du processus consistait en une décision de ne pas appliquer la politique et de la soumettre à la Commission pour analyse.  Quand M. </w:t>
      </w:r>
      <w:proofErr w:type="spellStart"/>
      <w:r w:rsidRPr="00F60059">
        <w:rPr>
          <w:rFonts w:cs="Times New Roman"/>
          <w:iCs/>
          <w:szCs w:val="24"/>
          <w:lang w:val="fr-CA"/>
        </w:rPr>
        <w:t>Figliola</w:t>
      </w:r>
      <w:proofErr w:type="spellEnd"/>
      <w:r w:rsidRPr="00F60059">
        <w:rPr>
          <w:rFonts w:cs="Times New Roman"/>
          <w:iCs/>
          <w:szCs w:val="24"/>
          <w:lang w:val="fr-CA"/>
        </w:rPr>
        <w:t xml:space="preserve"> a soulevé ce point devant l’agent de révision, il pouvait exercer devant le WCAT un droit d’appel comportant la possibilité de présenter des éléments de preuve.  Pendant l’instance, ce droit a été aboli, et le WCAT a même perdu toute compétence relativement au </w:t>
      </w:r>
      <w:r w:rsidRPr="00F60059">
        <w:rPr>
          <w:rFonts w:cs="Times New Roman"/>
          <w:i/>
          <w:iCs/>
          <w:szCs w:val="24"/>
          <w:lang w:val="fr-CA"/>
        </w:rPr>
        <w:t>Code</w:t>
      </w:r>
      <w:r w:rsidRPr="00F60059">
        <w:rPr>
          <w:rFonts w:cs="Times New Roman"/>
          <w:iCs/>
          <w:szCs w:val="24"/>
          <w:lang w:val="fr-CA"/>
        </w:rPr>
        <w:t xml:space="preserve">.  On ne peut certes pas dire que l’intention du législateur était d’investir les agents de révision d’une compétence exclusive en matière de droits de la personne. </w:t>
      </w:r>
    </w:p>
    <w:p w:rsidR="00E208A8" w:rsidRPr="00F60059" w:rsidRDefault="00E208A8" w:rsidP="00E208A8">
      <w:pPr>
        <w:pStyle w:val="ParaNoNdepar-AltN"/>
        <w:tabs>
          <w:tab w:val="clear" w:pos="1166"/>
          <w:tab w:val="num" w:pos="1152"/>
        </w:tabs>
        <w:rPr>
          <w:rFonts w:cs="Times New Roman"/>
          <w:i/>
          <w:iCs/>
          <w:szCs w:val="24"/>
          <w:lang w:val="fr-CA"/>
        </w:rPr>
      </w:pPr>
      <w:r w:rsidRPr="00F60059">
        <w:rPr>
          <w:rFonts w:cs="Times New Roman"/>
          <w:iCs/>
          <w:szCs w:val="24"/>
          <w:lang w:val="fr-CA"/>
        </w:rPr>
        <w:lastRenderedPageBreak/>
        <w:t>Il me semble qu’un simple examen des trois facteurs énumérés par ma collègue —</w:t>
      </w:r>
      <w:r w:rsidR="00B929B4">
        <w:rPr>
          <w:rFonts w:cs="Times New Roman"/>
          <w:iCs/>
          <w:szCs w:val="24"/>
          <w:lang w:val="fr-CA"/>
        </w:rPr>
        <w:t xml:space="preserve"> </w:t>
      </w:r>
      <w:r w:rsidRPr="00F60059">
        <w:rPr>
          <w:rFonts w:cs="Times New Roman"/>
          <w:iCs/>
          <w:szCs w:val="24"/>
          <w:lang w:val="fr-CA"/>
        </w:rPr>
        <w:t>la compétence concurrente de</w:t>
      </w:r>
      <w:r w:rsidRPr="00F60059">
        <w:rPr>
          <w:rFonts w:cs="Times New Roman"/>
          <w:szCs w:val="24"/>
          <w:lang w:val="fr-CA"/>
        </w:rPr>
        <w:t xml:space="preserve"> l’agent de révision de statuer sur un point qui était essentiellement le même que celui qui a été soumis au Tribunal, l’existence d’une possibilité de connaître les éléments invoqués, et une occasion de les réfuter — ne permet pas d’examiner comme il se doit </w:t>
      </w:r>
      <w:r w:rsidRPr="00F60059">
        <w:rPr>
          <w:rFonts w:cs="Times New Roman"/>
          <w:iCs/>
          <w:szCs w:val="24"/>
          <w:lang w:val="fr-CA"/>
        </w:rPr>
        <w:t>la question de savoir si la décision d’un agent de révision dans ces circonstances devrait empêcher tout examen ultérieur par le Tribunal des aspects de la plainte qui relèvent des droits de la personne</w:t>
      </w:r>
      <w:r w:rsidRPr="00F60059">
        <w:rPr>
          <w:rFonts w:cs="Times New Roman"/>
          <w:szCs w:val="24"/>
          <w:lang w:val="fr-CA"/>
        </w:rPr>
        <w:t xml:space="preserve">.  Comme le montre l’arrêt </w:t>
      </w:r>
      <w:proofErr w:type="spellStart"/>
      <w:r w:rsidRPr="00F60059">
        <w:rPr>
          <w:rFonts w:cs="Times New Roman"/>
          <w:i/>
          <w:iCs/>
          <w:szCs w:val="24"/>
          <w:lang w:val="fr-CA"/>
        </w:rPr>
        <w:t>Danyluk</w:t>
      </w:r>
      <w:proofErr w:type="spellEnd"/>
      <w:r w:rsidRPr="00F60059">
        <w:rPr>
          <w:rFonts w:cs="Times New Roman"/>
          <w:iCs/>
          <w:szCs w:val="24"/>
          <w:lang w:val="fr-CA"/>
        </w:rPr>
        <w:t xml:space="preserve">, beaucoup d’autres considérations entrent en ligne de compte.  Bien que le contexte juridictionnel et procédural de la présente affaire paraisse anormalement confus, des complications de cette nature ne sont pas inhabituelles en droit administratif. C’est à cause de considérations de ce genre qu’il faut selon moi appliquer avec une plus grande souplesse les doctrines relatives au caractère définitif des décisions, et j’estime que tant la </w:t>
      </w:r>
      <w:proofErr w:type="spellStart"/>
      <w:r w:rsidRPr="00F60059">
        <w:rPr>
          <w:rFonts w:cs="Times New Roman"/>
          <w:iCs/>
          <w:szCs w:val="24"/>
          <w:lang w:val="fr-CA"/>
        </w:rPr>
        <w:t>common</w:t>
      </w:r>
      <w:proofErr w:type="spellEnd"/>
      <w:r w:rsidRPr="00F60059">
        <w:rPr>
          <w:rFonts w:cs="Times New Roman"/>
          <w:iCs/>
          <w:szCs w:val="24"/>
          <w:lang w:val="fr-CA"/>
        </w:rPr>
        <w:t xml:space="preserve"> </w:t>
      </w:r>
      <w:proofErr w:type="spellStart"/>
      <w:r w:rsidRPr="00F60059">
        <w:rPr>
          <w:rFonts w:cs="Times New Roman"/>
          <w:iCs/>
          <w:szCs w:val="24"/>
          <w:lang w:val="fr-CA"/>
        </w:rPr>
        <w:t>law</w:t>
      </w:r>
      <w:proofErr w:type="spellEnd"/>
      <w:r w:rsidRPr="00F60059">
        <w:rPr>
          <w:rFonts w:cs="Times New Roman"/>
          <w:iCs/>
          <w:szCs w:val="24"/>
          <w:lang w:val="fr-CA"/>
        </w:rPr>
        <w:t xml:space="preserve"> que l’al. 27(1)f) du </w:t>
      </w:r>
      <w:r w:rsidRPr="00F60059">
        <w:rPr>
          <w:rFonts w:cs="Times New Roman"/>
          <w:i/>
          <w:iCs/>
          <w:szCs w:val="24"/>
          <w:lang w:val="fr-CA"/>
        </w:rPr>
        <w:t>Code</w:t>
      </w:r>
      <w:r w:rsidRPr="00F60059">
        <w:rPr>
          <w:rFonts w:cs="Times New Roman"/>
          <w:iCs/>
          <w:szCs w:val="24"/>
          <w:lang w:val="fr-CA"/>
        </w:rPr>
        <w:t xml:space="preserve">, comme je l’explique </w:t>
      </w:r>
      <w:proofErr w:type="spellStart"/>
      <w:r w:rsidRPr="00F60059">
        <w:rPr>
          <w:rFonts w:cs="Times New Roman"/>
          <w:iCs/>
          <w:szCs w:val="24"/>
          <w:lang w:val="fr-CA"/>
        </w:rPr>
        <w:t>ci</w:t>
      </w:r>
      <w:r w:rsidRPr="00F60059">
        <w:rPr>
          <w:rFonts w:cs="Times New Roman"/>
          <w:iCs/>
          <w:szCs w:val="24"/>
          <w:lang w:val="fr-CA"/>
        </w:rPr>
        <w:noBreakHyphen/>
        <w:t>après</w:t>
      </w:r>
      <w:proofErr w:type="spellEnd"/>
      <w:r w:rsidRPr="00F60059">
        <w:rPr>
          <w:rFonts w:cs="Times New Roman"/>
          <w:iCs/>
          <w:szCs w:val="24"/>
          <w:lang w:val="fr-CA"/>
        </w:rPr>
        <w:t>, autorisent cette souplesse.</w:t>
      </w:r>
    </w:p>
    <w:p w:rsidR="00E208A8" w:rsidRPr="00F60059" w:rsidRDefault="00E208A8" w:rsidP="00E208A8">
      <w:pPr>
        <w:pStyle w:val="TitleTitre-AltT"/>
        <w:keepNext/>
        <w:tabs>
          <w:tab w:val="clear" w:pos="360"/>
        </w:tabs>
        <w:spacing w:after="720"/>
        <w:rPr>
          <w:lang w:val="fr-CA"/>
        </w:rPr>
      </w:pPr>
      <w:r w:rsidRPr="00F60059">
        <w:rPr>
          <w:lang w:val="fr-CA"/>
        </w:rPr>
        <w:t>B.</w:t>
      </w:r>
      <w:r w:rsidRPr="00F60059">
        <w:rPr>
          <w:lang w:val="fr-CA"/>
        </w:rPr>
        <w:tab/>
      </w:r>
      <w:r w:rsidRPr="00F60059">
        <w:rPr>
          <w:i/>
          <w:lang w:val="fr-CA"/>
        </w:rPr>
        <w:t>Interprétation</w:t>
      </w:r>
      <w:r w:rsidRPr="00F60059">
        <w:rPr>
          <w:lang w:val="fr-CA"/>
        </w:rPr>
        <w:t xml:space="preserve"> </w:t>
      </w:r>
      <w:r w:rsidRPr="00F60059">
        <w:rPr>
          <w:i/>
          <w:lang w:val="fr-CA"/>
        </w:rPr>
        <w:t>législative</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Selon ma collègue, l’al. 27(1)f) confère un pouvoir discrétionnaire « restreint » dont l’exercice doit être guidé uniquement « </w:t>
      </w:r>
      <w:r w:rsidR="00DC5A58" w:rsidRPr="00F60059">
        <w:rPr>
          <w:rFonts w:cs="Times New Roman"/>
          <w:szCs w:val="24"/>
          <w:lang w:val="fr-CA"/>
        </w:rPr>
        <w:t>[</w:t>
      </w:r>
      <w:r w:rsidR="007564CF" w:rsidRPr="00F60059">
        <w:rPr>
          <w:rFonts w:cs="Times New Roman"/>
          <w:szCs w:val="24"/>
          <w:lang w:val="fr-CA"/>
        </w:rPr>
        <w:t>par</w:t>
      </w:r>
      <w:r w:rsidR="00DC5A58" w:rsidRPr="00F60059">
        <w:rPr>
          <w:rFonts w:cs="Times New Roman"/>
          <w:szCs w:val="24"/>
          <w:lang w:val="fr-CA"/>
        </w:rPr>
        <w:t>]</w:t>
      </w:r>
      <w:r w:rsidR="007564CF" w:rsidRPr="00F60059">
        <w:rPr>
          <w:rFonts w:cs="Times New Roman"/>
          <w:szCs w:val="24"/>
          <w:lang w:val="fr-CA"/>
        </w:rPr>
        <w:t xml:space="preserve"> </w:t>
      </w:r>
      <w:r w:rsidRPr="00F60059">
        <w:rPr>
          <w:rFonts w:cs="Times New Roman"/>
          <w:szCs w:val="24"/>
          <w:lang w:val="fr-CA"/>
        </w:rPr>
        <w:t>les objets de la disposition, qui sont d’assurer l’équité du caractère définitif du processus décisionnel et d’éviter la remise en cause de que</w:t>
      </w:r>
      <w:r w:rsidR="007564CF" w:rsidRPr="00F60059">
        <w:rPr>
          <w:rFonts w:cs="Times New Roman"/>
          <w:szCs w:val="24"/>
          <w:lang w:val="fr-CA"/>
        </w:rPr>
        <w:t>stions déjà tranchées » (</w:t>
      </w:r>
      <w:r w:rsidRPr="00F60059">
        <w:rPr>
          <w:rFonts w:cs="Times New Roman"/>
          <w:szCs w:val="24"/>
          <w:lang w:val="fr-CA"/>
        </w:rPr>
        <w:t>par. 36</w:t>
      </w:r>
      <w:r w:rsidR="007564CF" w:rsidRPr="00F60059">
        <w:rPr>
          <w:rFonts w:cs="Times New Roman"/>
          <w:szCs w:val="24"/>
          <w:lang w:val="fr-CA"/>
        </w:rPr>
        <w:t>)</w:t>
      </w:r>
      <w:r w:rsidRPr="00F60059">
        <w:rPr>
          <w:rFonts w:cs="Times New Roman"/>
          <w:szCs w:val="24"/>
          <w:lang w:val="fr-CA"/>
        </w:rPr>
        <w:t xml:space="preserve">.  Écartant provisoirement la question du caractère « restreint » ou « large » de ce pouvoir, j’ai </w:t>
      </w:r>
      <w:r w:rsidRPr="00F60059">
        <w:rPr>
          <w:rFonts w:cs="Times New Roman"/>
          <w:szCs w:val="24"/>
          <w:lang w:val="fr-CA"/>
        </w:rPr>
        <w:lastRenderedPageBreak/>
        <w:t xml:space="preserve">de la difficulté à accepter l’analyse que fait ma collègue des facteurs applicables qu’elle a relevés.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Je répète les trois facteurs à examiner que relève ma collègue : si le décideur antérieur avait compétence concurrente pour trancher la question, si la question tranchée était essentiellement la même, et si le processus antérieur a offert la possibilité aux parties ou à leurs ayants droit de connaître les éléments invoqués contre eux et de les réfuter (motifs de la juge Abella, par. 37).  Toutefois, ma collègue écarte, au par. 49 de ses motifs, la question de savoir si le processus suivi devant la Section de révision satisfait aux « exigences procédurales », estimant qu’il s’agit là d’une « question de contrôle judiciaire classique et non d’une question que se pose un décideur dans l’exercice d’une compétence concurrente ».  Donc, si je comprends bien, le Tribunal doit vérifier l’équité du processus antérieur, mais il ne peut d’aucune façon déterminer si ce processus satisfait aux « exigences procédurales ».  Je serais enclin à penser que l’obligation d’agir équitablement est incluse dans les « exigences procédurales ».  Mais, si tel est le cas, je ne m’explique pas comment l’équité procédurale peut à la fois excéder la compétence concurrente du décideur (par. 49) et constituer un facteur que le Tribunal doit considérer dans l’exercice du pouvoir discrétionnaire conféré à l’al. 27(1)f) (par. 37).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Il me semble aussi que la compétence d’un décideur de trancher un point est généralement une question qui se pose lors d’un contrôle judiciaire, mais elle fait ici partie des facteurs à prendre en compte dans l’exercice du pouvoir discrétionnaire </w:t>
      </w:r>
      <w:r w:rsidRPr="00F60059">
        <w:rPr>
          <w:rFonts w:cs="Times New Roman"/>
          <w:szCs w:val="24"/>
          <w:lang w:val="fr-CA"/>
        </w:rPr>
        <w:lastRenderedPageBreak/>
        <w:t xml:space="preserve">du Tribunal (par. 37).  À mon avis, on ne peut simplement écarter un facteur pertinent parce qu’il s’agit d’une « question de contrôle judiciaire classique » qui, par conséquent, n’est pas de celles « que se pose un décideur dans l’exercice d’une compétence concurrente » (par. 49).  Telle n’était pas la démarche retenue dans </w:t>
      </w:r>
      <w:proofErr w:type="spellStart"/>
      <w:r w:rsidRPr="00F60059">
        <w:rPr>
          <w:rFonts w:cs="Times New Roman"/>
          <w:i/>
          <w:szCs w:val="24"/>
          <w:lang w:val="fr-CA"/>
        </w:rPr>
        <w:t>Danyluk</w:t>
      </w:r>
      <w:proofErr w:type="spellEnd"/>
      <w:r w:rsidRPr="00F60059">
        <w:rPr>
          <w:rFonts w:cs="Times New Roman"/>
          <w:szCs w:val="24"/>
          <w:lang w:val="fr-CA"/>
        </w:rPr>
        <w:t xml:space="preserve">.  Il faut plutôt, dans l’exercice du pouvoir discrétionnaire, prendre en compte et apprécier tous les facteurs pertinents.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Quoi qu’il en soit, il reste que, tel que ma collègue le conçoit, l’al. 27(1)f) confère, en matière d’application des doctrines relatives au caractère définitif des décisions, un pouvoir discrétionnaire plus restreint que celui qui a été reconnu en </w:t>
      </w:r>
      <w:proofErr w:type="spellStart"/>
      <w:r w:rsidRPr="00F60059">
        <w:rPr>
          <w:rFonts w:cs="Times New Roman"/>
          <w:szCs w:val="24"/>
          <w:lang w:val="fr-CA"/>
        </w:rPr>
        <w:t>common</w:t>
      </w:r>
      <w:proofErr w:type="spellEnd"/>
      <w:r w:rsidRPr="00F60059">
        <w:rPr>
          <w:rFonts w:cs="Times New Roman"/>
          <w:szCs w:val="24"/>
          <w:lang w:val="fr-CA"/>
        </w:rPr>
        <w:t xml:space="preserve"> </w:t>
      </w:r>
      <w:proofErr w:type="spellStart"/>
      <w:r w:rsidRPr="00F60059">
        <w:rPr>
          <w:rFonts w:cs="Times New Roman"/>
          <w:szCs w:val="24"/>
          <w:lang w:val="fr-CA"/>
        </w:rPr>
        <w:t>law</w:t>
      </w:r>
      <w:proofErr w:type="spellEnd"/>
      <w:r w:rsidRPr="00F60059">
        <w:rPr>
          <w:rFonts w:cs="Times New Roman"/>
          <w:szCs w:val="24"/>
          <w:lang w:val="fr-CA"/>
        </w:rPr>
        <w:t xml:space="preserve"> à l’égard des décisions administratives.  Avec égards, et pour les motifs exposés </w:t>
      </w:r>
      <w:proofErr w:type="spellStart"/>
      <w:r w:rsidRPr="00F60059">
        <w:rPr>
          <w:rFonts w:cs="Times New Roman"/>
          <w:szCs w:val="24"/>
          <w:lang w:val="fr-CA"/>
        </w:rPr>
        <w:t>ci</w:t>
      </w:r>
      <w:r w:rsidRPr="00F60059">
        <w:rPr>
          <w:rFonts w:cs="Times New Roman"/>
          <w:szCs w:val="24"/>
          <w:lang w:val="fr-CA"/>
        </w:rPr>
        <w:noBreakHyphen/>
        <w:t>dessous</w:t>
      </w:r>
      <w:proofErr w:type="spellEnd"/>
      <w:r w:rsidRPr="00F60059">
        <w:rPr>
          <w:rFonts w:cs="Times New Roman"/>
          <w:szCs w:val="24"/>
          <w:lang w:val="fr-CA"/>
        </w:rPr>
        <w:t xml:space="preserve">, je ne puis souscrire à cette interprétation.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Il faut interpréter les termes de cette disposition </w:t>
      </w:r>
      <w:r w:rsidR="007564CF" w:rsidRPr="00F60059">
        <w:rPr>
          <w:rFonts w:cs="Times New Roman"/>
          <w:szCs w:val="24"/>
          <w:lang w:val="fr-CA"/>
        </w:rPr>
        <w:t>[</w:t>
      </w:r>
      <w:r w:rsidR="007564CF" w:rsidRPr="00F60059">
        <w:rPr>
          <w:rFonts w:cs="Times New Roman"/>
          <w:smallCaps/>
          <w:szCs w:val="24"/>
          <w:lang w:val="fr-CA"/>
        </w:rPr>
        <w:t>traduction</w:t>
      </w:r>
      <w:r w:rsidR="007564CF" w:rsidRPr="00F60059">
        <w:rPr>
          <w:rFonts w:cs="Times New Roman"/>
          <w:szCs w:val="24"/>
          <w:lang w:val="fr-CA"/>
        </w:rPr>
        <w:t xml:space="preserve">] </w:t>
      </w:r>
      <w:r w:rsidRPr="00F60059">
        <w:rPr>
          <w:rFonts w:cs="Times New Roman"/>
          <w:szCs w:val="24"/>
          <w:lang w:val="fr-CA"/>
        </w:rPr>
        <w:t>« </w:t>
      </w:r>
      <w:r w:rsidRPr="00F60059">
        <w:rPr>
          <w:rFonts w:cs="Times New Roman"/>
          <w:szCs w:val="24"/>
          <w:lang w:val="fr-FR"/>
        </w:rPr>
        <w:t xml:space="preserve">dans leur contexte global en suivant le sens ordinaire et grammatical qui s’harmonise avec l’esprit de la loi, l’objet de la loi et l’intention du législateur » : </w:t>
      </w:r>
      <w:r w:rsidRPr="00F60059">
        <w:rPr>
          <w:rFonts w:cs="Times New Roman"/>
          <w:i/>
          <w:iCs/>
          <w:szCs w:val="24"/>
          <w:lang w:val="fr-CA"/>
        </w:rPr>
        <w:t xml:space="preserve">Bell </w:t>
      </w:r>
      <w:proofErr w:type="spellStart"/>
      <w:r w:rsidRPr="00F60059">
        <w:rPr>
          <w:rFonts w:cs="Times New Roman"/>
          <w:i/>
          <w:iCs/>
          <w:szCs w:val="24"/>
          <w:lang w:val="fr-CA"/>
        </w:rPr>
        <w:t>ExpressVu</w:t>
      </w:r>
      <w:proofErr w:type="spellEnd"/>
      <w:r w:rsidRPr="00F60059">
        <w:rPr>
          <w:rFonts w:cs="Times New Roman"/>
          <w:i/>
          <w:iCs/>
          <w:szCs w:val="24"/>
          <w:lang w:val="fr-CA"/>
        </w:rPr>
        <w:t xml:space="preserve"> Limited </w:t>
      </w:r>
      <w:proofErr w:type="spellStart"/>
      <w:r w:rsidRPr="00F60059">
        <w:rPr>
          <w:rFonts w:cs="Times New Roman"/>
          <w:i/>
          <w:iCs/>
          <w:szCs w:val="24"/>
          <w:lang w:val="fr-CA"/>
        </w:rPr>
        <w:t>Partnership</w:t>
      </w:r>
      <w:proofErr w:type="spellEnd"/>
      <w:r w:rsidRPr="00F60059">
        <w:rPr>
          <w:rFonts w:cs="Times New Roman"/>
          <w:i/>
          <w:iCs/>
          <w:szCs w:val="24"/>
          <w:lang w:val="fr-CA"/>
        </w:rPr>
        <w:t xml:space="preserve"> c. Rex</w:t>
      </w:r>
      <w:r w:rsidRPr="00F60059">
        <w:rPr>
          <w:rFonts w:cs="Times New Roman"/>
          <w:szCs w:val="24"/>
          <w:lang w:val="fr-CA"/>
        </w:rPr>
        <w:t>, 2002 CSC 42, [2002] 2 R.C.S. 559, par. 26, citant E. A. </w:t>
      </w:r>
      <w:proofErr w:type="spellStart"/>
      <w:r w:rsidRPr="00F60059">
        <w:rPr>
          <w:rFonts w:cs="Times New Roman"/>
          <w:szCs w:val="24"/>
          <w:lang w:val="fr-CA"/>
        </w:rPr>
        <w:t>Driedger</w:t>
      </w:r>
      <w:proofErr w:type="spellEnd"/>
      <w:r w:rsidRPr="00F60059">
        <w:rPr>
          <w:rFonts w:cs="Times New Roman"/>
          <w:szCs w:val="24"/>
          <w:lang w:val="fr-CA"/>
        </w:rPr>
        <w:t xml:space="preserve">, </w:t>
      </w:r>
      <w:r w:rsidRPr="00F60059">
        <w:rPr>
          <w:rFonts w:cs="Times New Roman"/>
          <w:i/>
          <w:iCs/>
          <w:szCs w:val="24"/>
          <w:lang w:val="fr-CA"/>
        </w:rPr>
        <w:t xml:space="preserve">Construction of </w:t>
      </w:r>
      <w:proofErr w:type="spellStart"/>
      <w:r w:rsidRPr="00F60059">
        <w:rPr>
          <w:rFonts w:cs="Times New Roman"/>
          <w:i/>
          <w:iCs/>
          <w:szCs w:val="24"/>
          <w:lang w:val="fr-CA"/>
        </w:rPr>
        <w:t>Statutes</w:t>
      </w:r>
      <w:proofErr w:type="spellEnd"/>
      <w:r w:rsidRPr="00F60059">
        <w:rPr>
          <w:rFonts w:cs="Times New Roman"/>
          <w:i/>
          <w:iCs/>
          <w:szCs w:val="24"/>
          <w:lang w:val="fr-CA"/>
        </w:rPr>
        <w:t xml:space="preserve"> </w:t>
      </w:r>
      <w:r w:rsidRPr="00F60059">
        <w:rPr>
          <w:rFonts w:cs="Times New Roman"/>
          <w:szCs w:val="24"/>
          <w:lang w:val="fr-CA"/>
        </w:rPr>
        <w:t>(2</w:t>
      </w:r>
      <w:r w:rsidRPr="00F60059">
        <w:rPr>
          <w:rFonts w:cs="Times New Roman"/>
          <w:szCs w:val="24"/>
          <w:vertAlign w:val="superscript"/>
          <w:lang w:val="fr-CA"/>
        </w:rPr>
        <w:t>e</w:t>
      </w:r>
      <w:r w:rsidRPr="00F60059">
        <w:rPr>
          <w:rFonts w:cs="Times New Roman"/>
          <w:szCs w:val="24"/>
          <w:lang w:val="fr-CA"/>
        </w:rPr>
        <w:t xml:space="preserve"> éd. 1983), p. 87; </w:t>
      </w:r>
      <w:proofErr w:type="spellStart"/>
      <w:r w:rsidRPr="00F60059">
        <w:rPr>
          <w:rFonts w:cs="Times New Roman"/>
          <w:i/>
          <w:iCs/>
          <w:szCs w:val="24"/>
          <w:lang w:val="fr-CA"/>
        </w:rPr>
        <w:t>Rizzo</w:t>
      </w:r>
      <w:proofErr w:type="spellEnd"/>
      <w:r w:rsidRPr="00F60059">
        <w:rPr>
          <w:rFonts w:cs="Times New Roman"/>
          <w:i/>
          <w:iCs/>
          <w:szCs w:val="24"/>
          <w:lang w:val="fr-CA"/>
        </w:rPr>
        <w:t xml:space="preserve"> &amp; </w:t>
      </w:r>
      <w:proofErr w:type="spellStart"/>
      <w:r w:rsidRPr="00F60059">
        <w:rPr>
          <w:rFonts w:cs="Times New Roman"/>
          <w:i/>
          <w:iCs/>
          <w:szCs w:val="24"/>
          <w:lang w:val="fr-CA"/>
        </w:rPr>
        <w:t>Rizzo</w:t>
      </w:r>
      <w:proofErr w:type="spellEnd"/>
      <w:r w:rsidRPr="00F60059">
        <w:rPr>
          <w:rFonts w:cs="Times New Roman"/>
          <w:i/>
          <w:iCs/>
          <w:szCs w:val="24"/>
          <w:lang w:val="fr-CA"/>
        </w:rPr>
        <w:t xml:space="preserve"> </w:t>
      </w:r>
      <w:proofErr w:type="spellStart"/>
      <w:r w:rsidRPr="00F60059">
        <w:rPr>
          <w:rFonts w:cs="Times New Roman"/>
          <w:i/>
          <w:iCs/>
          <w:szCs w:val="24"/>
          <w:lang w:val="fr-CA"/>
        </w:rPr>
        <w:t>Shoes</w:t>
      </w:r>
      <w:proofErr w:type="spellEnd"/>
      <w:r w:rsidRPr="00F60059">
        <w:rPr>
          <w:rFonts w:cs="Times New Roman"/>
          <w:i/>
          <w:iCs/>
          <w:szCs w:val="24"/>
          <w:lang w:val="fr-CA"/>
        </w:rPr>
        <w:t xml:space="preserve"> Ltd. (</w:t>
      </w:r>
      <w:proofErr w:type="spellStart"/>
      <w:r w:rsidRPr="00F60059">
        <w:rPr>
          <w:rFonts w:cs="Times New Roman"/>
          <w:i/>
          <w:iCs/>
          <w:szCs w:val="24"/>
          <w:lang w:val="fr-CA"/>
        </w:rPr>
        <w:t>Re</w:t>
      </w:r>
      <w:proofErr w:type="spellEnd"/>
      <w:r w:rsidRPr="00F60059">
        <w:rPr>
          <w:rFonts w:cs="Times New Roman"/>
          <w:i/>
          <w:iCs/>
          <w:szCs w:val="24"/>
          <w:lang w:val="fr-CA"/>
        </w:rPr>
        <w:t>)</w:t>
      </w:r>
      <w:r w:rsidRPr="00F60059">
        <w:rPr>
          <w:rFonts w:cs="Times New Roman"/>
          <w:szCs w:val="24"/>
          <w:lang w:val="fr-CA"/>
        </w:rPr>
        <w:t xml:space="preserve">, [1998] 1 R.C.S. 27, par. 21.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Considérons d’abord le sens ordinaire et grammatical des termes.  Il m’est difficile d’envisager l’octroi d’un pouvoir discrétionnaire en des termes plus larges si l’on dit que le tribunal peut rejeter une plainte s’il a été statué de façon </w:t>
      </w:r>
      <w:r w:rsidRPr="00F60059">
        <w:rPr>
          <w:rFonts w:cs="Times New Roman"/>
          <w:szCs w:val="24"/>
          <w:lang w:val="fr-CA"/>
        </w:rPr>
        <w:lastRenderedPageBreak/>
        <w:t>appropriée sur le fond de la plainte dans une autre instance.  Selon moi, le sens ordinaire et grammatical de ces termes permet de donner une large portée au pouvoir discrétionnaire, non une portée restreinte.  Je considère tout comme ma collègue que la disposition est l’expression des principes fondant les doctrines relatives au caractère définitif des décisions plutôt qu’une codification</w:t>
      </w:r>
      <w:r w:rsidR="00843757" w:rsidRPr="00F60059">
        <w:rPr>
          <w:rFonts w:cs="Times New Roman"/>
          <w:szCs w:val="24"/>
          <w:lang w:val="fr-CA"/>
        </w:rPr>
        <w:t xml:space="preserve"> de leurs éléments techniques </w:t>
      </w:r>
      <w:r w:rsidRPr="00F60059">
        <w:rPr>
          <w:rFonts w:cs="Times New Roman"/>
          <w:szCs w:val="24"/>
          <w:lang w:val="fr-CA"/>
        </w:rPr>
        <w:t>(par. 46).  Toutefois, comme je l’ai déjà indiqué, ces « principes », tels qu’ils ont évolué en droit administratif en particulier, comportent la recherche d’un juste équilibre entre, d’une part, le caractère définitif et l’équité, et, d’autre part, un pouvoir discrétionnaire d’une ampleur propre à réaliser cet équilibre dans la multitude des contextes décisionnels où ils sont appelés à s’appliquer.  La disposition met l’accent sur le [</w:t>
      </w:r>
      <w:r w:rsidRPr="00F60059">
        <w:rPr>
          <w:rFonts w:cs="Times New Roman"/>
          <w:smallCaps/>
          <w:szCs w:val="24"/>
          <w:lang w:val="fr-CA"/>
        </w:rPr>
        <w:t>traduction</w:t>
      </w:r>
      <w:r w:rsidRPr="00F60059">
        <w:rPr>
          <w:rFonts w:cs="Times New Roman"/>
          <w:szCs w:val="24"/>
          <w:lang w:val="fr-CA"/>
        </w:rPr>
        <w:t xml:space="preserve">] « fond » de la plainte, et l’emploi des termes larges « a été statué de façon appropriée » indique clairement, selon moi, qu’elle élargit plutôt qu’elle ne restreint la portée du pouvoir discrétionnaire prévu par la </w:t>
      </w:r>
      <w:proofErr w:type="spellStart"/>
      <w:r w:rsidRPr="00F60059">
        <w:rPr>
          <w:rFonts w:cs="Times New Roman"/>
          <w:szCs w:val="24"/>
          <w:lang w:val="fr-CA"/>
        </w:rPr>
        <w:t>common</w:t>
      </w:r>
      <w:proofErr w:type="spellEnd"/>
      <w:r w:rsidRPr="00F60059">
        <w:rPr>
          <w:rFonts w:cs="Times New Roman"/>
          <w:szCs w:val="24"/>
          <w:lang w:val="fr-CA"/>
        </w:rPr>
        <w:t xml:space="preserve"> </w:t>
      </w:r>
      <w:proofErr w:type="spellStart"/>
      <w:r w:rsidRPr="00F60059">
        <w:rPr>
          <w:rFonts w:cs="Times New Roman"/>
          <w:szCs w:val="24"/>
          <w:lang w:val="fr-CA"/>
        </w:rPr>
        <w:t>law</w:t>
      </w:r>
      <w:proofErr w:type="spellEnd"/>
      <w:r w:rsidRPr="00F60059">
        <w:rPr>
          <w:rFonts w:cs="Times New Roman"/>
          <w:szCs w:val="24"/>
          <w:lang w:val="fr-CA"/>
        </w:rPr>
        <w:t xml:space="preserv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Examinons ensuite la disposition dans le contexte du reste de l’article.  Ma collègue considère qu’il faut interpréter l’al. 27(1)f) de façon restrictive parce que les six autres catégories de pouvoirs discrétionnaires conférés au par. 27(1) ont trait, de par leur nature, à des circonstances où le rejet de la plainte est clairement approprié.  Ce raisonnement repose sur la prémisse que tous les autres alinéas du par. 27(1) confèrent clairement un pouvoir discrétionnaire restreint.  Je ne puis accepter cette prémisse.  Certes, certains des autres motifs de rejet discrétionnaire énumérés au par. 27(1) s’appliquent effectivement dans des circonstances où il ne serait nettement pas souhaitable de donner suite à la plainte : motifs de la juge Abella, </w:t>
      </w:r>
      <w:r w:rsidRPr="00F60059">
        <w:rPr>
          <w:rFonts w:cs="Times New Roman"/>
          <w:szCs w:val="24"/>
          <w:lang w:val="fr-CA"/>
        </w:rPr>
        <w:lastRenderedPageBreak/>
        <w:t>par. 39</w:t>
      </w:r>
      <w:r w:rsidRPr="00F60059">
        <w:rPr>
          <w:rFonts w:cs="Times New Roman"/>
          <w:szCs w:val="24"/>
          <w:lang w:val="fr-CA"/>
        </w:rPr>
        <w:noBreakHyphen/>
        <w:t xml:space="preserve">41.  On voit difficilement, par exemple, comment le </w:t>
      </w:r>
      <w:r w:rsidR="00B929B4">
        <w:rPr>
          <w:rFonts w:cs="Times New Roman"/>
          <w:szCs w:val="24"/>
          <w:lang w:val="fr-CA"/>
        </w:rPr>
        <w:t>T</w:t>
      </w:r>
      <w:r w:rsidRPr="00F60059">
        <w:rPr>
          <w:rFonts w:cs="Times New Roman"/>
          <w:szCs w:val="24"/>
          <w:lang w:val="fr-CA"/>
        </w:rPr>
        <w:t>ribunal pourrait jouir du pouvoir discrétionnaire réel de refuser de rejeter une plainte qui ne relèverait pas de sa compétence (al. 27(1</w:t>
      </w:r>
      <w:proofErr w:type="gramStart"/>
      <w:r w:rsidRPr="00F60059">
        <w:rPr>
          <w:rFonts w:cs="Times New Roman"/>
          <w:szCs w:val="24"/>
          <w:lang w:val="fr-CA"/>
        </w:rPr>
        <w:t>)a</w:t>
      </w:r>
      <w:proofErr w:type="gramEnd"/>
      <w:r w:rsidRPr="00F60059">
        <w:rPr>
          <w:rFonts w:cs="Times New Roman"/>
          <w:szCs w:val="24"/>
          <w:lang w:val="fr-CA"/>
        </w:rPr>
        <w:t xml:space="preserve">)), ou qui ne révélerait aucune contravention au </w:t>
      </w:r>
      <w:r w:rsidRPr="00F60059">
        <w:rPr>
          <w:rFonts w:cs="Times New Roman"/>
          <w:i/>
          <w:szCs w:val="24"/>
          <w:lang w:val="fr-CA"/>
        </w:rPr>
        <w:t>Code</w:t>
      </w:r>
      <w:r w:rsidRPr="00F60059">
        <w:rPr>
          <w:rFonts w:cs="Times New Roman"/>
          <w:szCs w:val="24"/>
          <w:lang w:val="fr-CA"/>
        </w:rPr>
        <w:t xml:space="preserve"> (al. 27(1)b)).  Ce ne sont pas toutes les catégories mentionnées au par. 27(1) qui sont de cette nature, cependant : voir, par exemple </w:t>
      </w:r>
      <w:r w:rsidRPr="00F60059">
        <w:rPr>
          <w:rFonts w:cs="Times New Roman"/>
          <w:i/>
          <w:szCs w:val="24"/>
          <w:lang w:val="fr-CA"/>
        </w:rPr>
        <w:t xml:space="preserve">Becker c. </w:t>
      </w:r>
      <w:proofErr w:type="spellStart"/>
      <w:r w:rsidRPr="00F60059">
        <w:rPr>
          <w:rFonts w:cs="Times New Roman"/>
          <w:i/>
          <w:szCs w:val="24"/>
          <w:lang w:val="fr-CA"/>
        </w:rPr>
        <w:t>Cariboo</w:t>
      </w:r>
      <w:proofErr w:type="spellEnd"/>
      <w:r w:rsidRPr="00F60059">
        <w:rPr>
          <w:rFonts w:cs="Times New Roman"/>
          <w:i/>
          <w:szCs w:val="24"/>
          <w:lang w:val="fr-CA"/>
        </w:rPr>
        <w:t xml:space="preserve"> Chevrolet Oldsmobile Pontiac Buick GMC Ltd</w:t>
      </w:r>
      <w:r w:rsidR="00843757" w:rsidRPr="00F60059">
        <w:rPr>
          <w:rFonts w:cs="Times New Roman"/>
          <w:i/>
          <w:szCs w:val="24"/>
          <w:lang w:val="fr-CA"/>
        </w:rPr>
        <w:t>.</w:t>
      </w:r>
      <w:r w:rsidRPr="00F60059">
        <w:rPr>
          <w:rFonts w:cs="Times New Roman"/>
          <w:szCs w:val="24"/>
          <w:lang w:val="fr-CA"/>
        </w:rPr>
        <w:t>,</w:t>
      </w:r>
      <w:r w:rsidRPr="00F60059">
        <w:rPr>
          <w:rFonts w:cs="Times New Roman"/>
          <w:i/>
          <w:szCs w:val="24"/>
          <w:lang w:val="fr-CA"/>
        </w:rPr>
        <w:t xml:space="preserve"> </w:t>
      </w:r>
      <w:r w:rsidRPr="00F60059">
        <w:rPr>
          <w:rFonts w:cs="Times New Roman"/>
          <w:szCs w:val="24"/>
          <w:lang w:val="fr-CA"/>
        </w:rPr>
        <w:t xml:space="preserve">2006 BCSC 43, 42 </w:t>
      </w:r>
      <w:proofErr w:type="spellStart"/>
      <w:r w:rsidRPr="00F60059">
        <w:rPr>
          <w:rFonts w:cs="Times New Roman"/>
          <w:szCs w:val="24"/>
          <w:lang w:val="fr-CA"/>
        </w:rPr>
        <w:t>Admin</w:t>
      </w:r>
      <w:proofErr w:type="spellEnd"/>
      <w:r w:rsidRPr="00F60059">
        <w:rPr>
          <w:rFonts w:cs="Times New Roman"/>
          <w:szCs w:val="24"/>
          <w:lang w:val="fr-CA"/>
        </w:rPr>
        <w:t>. L.R. (4th) 266, par. 38</w:t>
      </w:r>
      <w:r w:rsidRPr="00F60059">
        <w:rPr>
          <w:rFonts w:cs="Times New Roman"/>
          <w:szCs w:val="24"/>
          <w:lang w:val="fr-CA"/>
        </w:rPr>
        <w:noBreakHyphen/>
        <w:t>42.  Selon moi, c’est plutôt le contenu des différents alinéas du par. 27(1) et non le mot [</w:t>
      </w:r>
      <w:r w:rsidRPr="00F60059">
        <w:rPr>
          <w:rFonts w:cs="Times New Roman"/>
          <w:smallCaps/>
          <w:szCs w:val="24"/>
          <w:lang w:val="fr-CA"/>
        </w:rPr>
        <w:t>traduction</w:t>
      </w:r>
      <w:r w:rsidRPr="00F60059">
        <w:rPr>
          <w:rFonts w:cs="Times New Roman"/>
          <w:szCs w:val="24"/>
          <w:lang w:val="fr-CA"/>
        </w:rPr>
        <w:t xml:space="preserve">] « peut », employé dans les premiers mots de cet article, qui influe sur la nature du pouvoir discrétionnaire.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L’alinéa 27(1)d) investit le Tribunal du pouvoir discrétionnaire de rejeter une plainte qui n’apporterait rien à la personne, au groupe ou </w:t>
      </w:r>
      <w:proofErr w:type="gramStart"/>
      <w:r w:rsidRPr="00F60059">
        <w:rPr>
          <w:rFonts w:cs="Times New Roman"/>
          <w:szCs w:val="24"/>
          <w:lang w:val="fr-CA"/>
        </w:rPr>
        <w:t>à la catégorie censés</w:t>
      </w:r>
      <w:proofErr w:type="gramEnd"/>
      <w:r w:rsidRPr="00F60059">
        <w:rPr>
          <w:rFonts w:cs="Times New Roman"/>
          <w:szCs w:val="24"/>
          <w:lang w:val="fr-CA"/>
        </w:rPr>
        <w:t xml:space="preserve"> avoir été victimes de discrimination, ou qui ne servirait pas les fins du </w:t>
      </w:r>
      <w:r w:rsidRPr="00F60059">
        <w:rPr>
          <w:rFonts w:cs="Times New Roman"/>
          <w:i/>
          <w:szCs w:val="24"/>
          <w:lang w:val="fr-CA"/>
        </w:rPr>
        <w:t>Code</w:t>
      </w:r>
      <w:r w:rsidRPr="00F60059">
        <w:rPr>
          <w:rFonts w:cs="Times New Roman"/>
          <w:szCs w:val="24"/>
          <w:lang w:val="fr-CA"/>
        </w:rPr>
        <w:t>.  L’exercice de ce pouvoir oblige le Tribunal à faire l’examen de questions fondamentales concernant le rôle de la législation relative aux droits de la personne et des instances décisionnelles chargées de l’appliquer.  Il s’agit donc là d’un pouvoir discrétionnaire large fondé sur des considérations de politique générale et sur la mission spécialisée du Tribunal en matière de droits de la personne (</w:t>
      </w:r>
      <w:r w:rsidRPr="00F60059">
        <w:rPr>
          <w:rFonts w:cs="Times New Roman"/>
          <w:i/>
          <w:szCs w:val="24"/>
          <w:lang w:val="fr-CA"/>
        </w:rPr>
        <w:t>Becker</w:t>
      </w:r>
      <w:r w:rsidRPr="00F60059">
        <w:rPr>
          <w:rFonts w:cs="Times New Roman"/>
          <w:szCs w:val="24"/>
          <w:lang w:val="fr-CA"/>
        </w:rPr>
        <w:t>,</w:t>
      </w:r>
      <w:r w:rsidRPr="00F60059">
        <w:rPr>
          <w:rFonts w:cs="Times New Roman"/>
          <w:i/>
          <w:szCs w:val="24"/>
          <w:lang w:val="fr-CA"/>
        </w:rPr>
        <w:t xml:space="preserve"> </w:t>
      </w:r>
      <w:r w:rsidRPr="00F60059">
        <w:rPr>
          <w:rFonts w:cs="Times New Roman"/>
          <w:szCs w:val="24"/>
          <w:lang w:val="fr-CA"/>
        </w:rPr>
        <w:t>par. 42).  Le pouvoir n’est pas de la même nature que celui conféré par certaines des autres dispositions plus simples du par. 27(1), mais son étendue est comparable à celle du pouvoir discrétionnaire prévu à l’al. 27(1)f).  Dans ce dernier alinéa, la portée du pouvoir discrétionnaire se dégage des termes très généraux employés, concernant le [</w:t>
      </w:r>
      <w:r w:rsidRPr="00F60059">
        <w:rPr>
          <w:rFonts w:cs="Times New Roman"/>
          <w:smallCaps/>
          <w:szCs w:val="24"/>
          <w:lang w:val="fr-CA"/>
        </w:rPr>
        <w:t>traduction</w:t>
      </w:r>
      <w:r w:rsidRPr="00F60059">
        <w:rPr>
          <w:rFonts w:cs="Times New Roman"/>
          <w:szCs w:val="24"/>
          <w:lang w:val="fr-CA"/>
        </w:rPr>
        <w:t xml:space="preserve">] « fond » de la plainte et la question de savoir s’il a été statué sur ce </w:t>
      </w:r>
      <w:r w:rsidRPr="00F60059">
        <w:rPr>
          <w:rFonts w:cs="Times New Roman"/>
          <w:szCs w:val="24"/>
          <w:lang w:val="fr-CA"/>
        </w:rPr>
        <w:lastRenderedPageBreak/>
        <w:t xml:space="preserve">fond « de façon appropriée ».  Je ne relève dans la structure ou le contexte du par. 27(1) pris dans son ensemble aucune indication qu’il faille interpréter restrictivement le pouvoir discrétionnaire de rejet lorsqu’il a été statué « de façon appropriée » sur le « fond » d’une plainte.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L’historique législatif d’une disposition fait également partie de son contexte.  Cet historique confirme que, pour ce qui est du rejet d’une plainte ayant fait l’objet d’une instance antérieure, le législateur a voulu conférer un pouvoir discrétionnaire étendu.  Il est significatif que le </w:t>
      </w:r>
      <w:proofErr w:type="spellStart"/>
      <w:r w:rsidRPr="00F60059">
        <w:rPr>
          <w:rFonts w:cs="Times New Roman"/>
          <w:i/>
          <w:szCs w:val="24"/>
          <w:lang w:val="fr-CA"/>
        </w:rPr>
        <w:t>Human</w:t>
      </w:r>
      <w:proofErr w:type="spellEnd"/>
      <w:r w:rsidRPr="00F60059">
        <w:rPr>
          <w:rFonts w:cs="Times New Roman"/>
          <w:i/>
          <w:szCs w:val="24"/>
          <w:lang w:val="fr-CA"/>
        </w:rPr>
        <w:t xml:space="preserve"> </w:t>
      </w:r>
      <w:proofErr w:type="spellStart"/>
      <w:r w:rsidRPr="00F60059">
        <w:rPr>
          <w:rFonts w:cs="Times New Roman"/>
          <w:i/>
          <w:szCs w:val="24"/>
          <w:lang w:val="fr-CA"/>
        </w:rPr>
        <w:t>Rights</w:t>
      </w:r>
      <w:proofErr w:type="spellEnd"/>
      <w:r w:rsidRPr="00F60059">
        <w:rPr>
          <w:rFonts w:cs="Times New Roman"/>
          <w:i/>
          <w:szCs w:val="24"/>
          <w:lang w:val="fr-CA"/>
        </w:rPr>
        <w:t xml:space="preserve"> Code</w:t>
      </w:r>
      <w:r w:rsidRPr="00F60059">
        <w:rPr>
          <w:rFonts w:cs="Times New Roman"/>
          <w:szCs w:val="24"/>
          <w:lang w:val="fr-CA"/>
        </w:rPr>
        <w:t xml:space="preserve"> ait déjà énuméré, au par. 25(3), des facteurs qui devaient être pris en compte dans l’exercice du pouvoir discrétionnaire </w:t>
      </w:r>
      <w:r w:rsidRPr="00481062">
        <w:rPr>
          <w:rFonts w:cs="Times New Roman"/>
          <w:szCs w:val="24"/>
          <w:lang w:val="fr-CA"/>
        </w:rPr>
        <w:t>d’</w:t>
      </w:r>
      <w:r w:rsidRPr="00F60059">
        <w:rPr>
          <w:rFonts w:cs="Times New Roman"/>
          <w:i/>
          <w:szCs w:val="24"/>
          <w:lang w:val="fr-CA"/>
        </w:rPr>
        <w:t>ajourner</w:t>
      </w:r>
      <w:r w:rsidRPr="00F60059">
        <w:rPr>
          <w:rFonts w:cs="Times New Roman"/>
          <w:szCs w:val="24"/>
          <w:lang w:val="fr-CA"/>
        </w:rPr>
        <w:t xml:space="preserve"> ou non l’examen d’une plainte.  Le par. 27(2), maintenant abrogé, exigeait l’examen de ces mêmes facteurs lorsqu’il s’agissait de </w:t>
      </w:r>
      <w:r w:rsidRPr="00F60059">
        <w:rPr>
          <w:rFonts w:cs="Times New Roman"/>
          <w:i/>
          <w:szCs w:val="24"/>
          <w:lang w:val="fr-CA"/>
        </w:rPr>
        <w:t>rejeter</w:t>
      </w:r>
      <w:r w:rsidRPr="00F60059">
        <w:rPr>
          <w:rFonts w:cs="Times New Roman"/>
          <w:szCs w:val="24"/>
          <w:lang w:val="fr-CA"/>
        </w:rPr>
        <w:t xml:space="preserve"> une plainte.  Ces facteurs comprenaient l’objet et la nature de l’autre instance ainsi que le caractère suffisant des mesures de réparation offertes dans l’autre instance dans les circonstances.  Toutefois, le législateur a aboli ces facteurs (</w:t>
      </w:r>
      <w:proofErr w:type="spellStart"/>
      <w:r w:rsidRPr="00F60059">
        <w:rPr>
          <w:rFonts w:cs="Times New Roman"/>
          <w:i/>
          <w:iCs/>
          <w:szCs w:val="24"/>
          <w:lang w:val="fr-CA"/>
        </w:rPr>
        <w:t>Human</w:t>
      </w:r>
      <w:proofErr w:type="spellEnd"/>
      <w:r w:rsidRPr="00F60059">
        <w:rPr>
          <w:rFonts w:cs="Times New Roman"/>
          <w:i/>
          <w:iCs/>
          <w:szCs w:val="24"/>
          <w:lang w:val="fr-CA"/>
        </w:rPr>
        <w:t xml:space="preserve"> </w:t>
      </w:r>
      <w:proofErr w:type="spellStart"/>
      <w:r w:rsidRPr="00F60059">
        <w:rPr>
          <w:rFonts w:cs="Times New Roman"/>
          <w:i/>
          <w:iCs/>
          <w:szCs w:val="24"/>
          <w:lang w:val="fr-CA"/>
        </w:rPr>
        <w:t>Rights</w:t>
      </w:r>
      <w:proofErr w:type="spellEnd"/>
      <w:r w:rsidRPr="00F60059">
        <w:rPr>
          <w:rFonts w:cs="Times New Roman"/>
          <w:i/>
          <w:iCs/>
          <w:szCs w:val="24"/>
          <w:lang w:val="fr-CA"/>
        </w:rPr>
        <w:t xml:space="preserve"> Code </w:t>
      </w:r>
      <w:proofErr w:type="spellStart"/>
      <w:r w:rsidRPr="00F60059">
        <w:rPr>
          <w:rFonts w:cs="Times New Roman"/>
          <w:i/>
          <w:iCs/>
          <w:szCs w:val="24"/>
          <w:lang w:val="fr-CA"/>
        </w:rPr>
        <w:t>Amendment</w:t>
      </w:r>
      <w:proofErr w:type="spellEnd"/>
      <w:r w:rsidRPr="00F60059">
        <w:rPr>
          <w:rFonts w:cs="Times New Roman"/>
          <w:i/>
          <w:iCs/>
          <w:szCs w:val="24"/>
          <w:lang w:val="fr-CA"/>
        </w:rPr>
        <w:t xml:space="preserve"> </w:t>
      </w:r>
      <w:proofErr w:type="spellStart"/>
      <w:r w:rsidRPr="00F60059">
        <w:rPr>
          <w:rFonts w:cs="Times New Roman"/>
          <w:i/>
          <w:iCs/>
          <w:szCs w:val="24"/>
          <w:lang w:val="fr-CA"/>
        </w:rPr>
        <w:t>Act</w:t>
      </w:r>
      <w:proofErr w:type="spellEnd"/>
      <w:r w:rsidRPr="00F60059">
        <w:rPr>
          <w:rFonts w:cs="Times New Roman"/>
          <w:i/>
          <w:iCs/>
          <w:szCs w:val="24"/>
          <w:lang w:val="fr-CA"/>
        </w:rPr>
        <w:t>, 2002</w:t>
      </w:r>
      <w:r w:rsidRPr="00F60059">
        <w:rPr>
          <w:rFonts w:cs="Times New Roman"/>
          <w:iCs/>
          <w:szCs w:val="24"/>
          <w:lang w:val="fr-CA"/>
        </w:rPr>
        <w:t>, S.B.C. 2002, ch. 62, art. 11 et</w:t>
      </w:r>
      <w:r w:rsidR="00B929B4">
        <w:rPr>
          <w:rFonts w:cs="Times New Roman"/>
          <w:iCs/>
          <w:szCs w:val="24"/>
          <w:lang w:val="fr-CA"/>
        </w:rPr>
        <w:t xml:space="preserve"> </w:t>
      </w:r>
      <w:r w:rsidRPr="00F60059">
        <w:rPr>
          <w:rFonts w:cs="Times New Roman"/>
          <w:iCs/>
          <w:szCs w:val="24"/>
          <w:lang w:val="fr-CA"/>
        </w:rPr>
        <w:t>12), ce qui manifeste une intention de conférer un pouvoir discrétionnaire moins limitatif</w:t>
      </w:r>
      <w:r w:rsidRPr="00F60059">
        <w:rPr>
          <w:rFonts w:cs="Times New Roman"/>
          <w:szCs w:val="24"/>
          <w:lang w:val="fr-CA"/>
        </w:rPr>
        <w:t xml:space="preserve">.  Cette intention est explicitement formulée dans </w:t>
      </w:r>
      <w:proofErr w:type="gramStart"/>
      <w:r w:rsidRPr="00F60059">
        <w:rPr>
          <w:rFonts w:cs="Times New Roman"/>
          <w:szCs w:val="24"/>
          <w:lang w:val="fr-CA"/>
        </w:rPr>
        <w:t xml:space="preserve">le </w:t>
      </w:r>
      <w:r w:rsidR="00843757" w:rsidRPr="00F60059">
        <w:rPr>
          <w:rFonts w:cs="Times New Roman"/>
          <w:i/>
          <w:szCs w:val="24"/>
          <w:lang w:val="fr-CA"/>
        </w:rPr>
        <w:t>Official</w:t>
      </w:r>
      <w:proofErr w:type="gramEnd"/>
      <w:r w:rsidR="00843757" w:rsidRPr="00F60059">
        <w:rPr>
          <w:rFonts w:cs="Times New Roman"/>
          <w:i/>
          <w:szCs w:val="24"/>
          <w:lang w:val="fr-CA"/>
        </w:rPr>
        <w:t xml:space="preserve"> Report of </w:t>
      </w:r>
      <w:proofErr w:type="spellStart"/>
      <w:r w:rsidR="00843757" w:rsidRPr="00F60059">
        <w:rPr>
          <w:rFonts w:cs="Times New Roman"/>
          <w:i/>
          <w:szCs w:val="24"/>
          <w:lang w:val="fr-CA"/>
        </w:rPr>
        <w:t>Debates</w:t>
      </w:r>
      <w:proofErr w:type="spellEnd"/>
      <w:r w:rsidR="00843757" w:rsidRPr="00F60059">
        <w:rPr>
          <w:rFonts w:cs="Times New Roman"/>
          <w:i/>
          <w:szCs w:val="24"/>
          <w:lang w:val="fr-CA"/>
        </w:rPr>
        <w:t xml:space="preserve"> of the </w:t>
      </w:r>
      <w:proofErr w:type="spellStart"/>
      <w:r w:rsidR="00843757" w:rsidRPr="00F60059">
        <w:rPr>
          <w:rFonts w:cs="Times New Roman"/>
          <w:i/>
          <w:szCs w:val="24"/>
          <w:lang w:val="fr-CA"/>
        </w:rPr>
        <w:t>Legislative</w:t>
      </w:r>
      <w:proofErr w:type="spellEnd"/>
      <w:r w:rsidR="00843757" w:rsidRPr="00F60059">
        <w:rPr>
          <w:rFonts w:cs="Times New Roman"/>
          <w:i/>
          <w:szCs w:val="24"/>
          <w:lang w:val="fr-CA"/>
        </w:rPr>
        <w:t xml:space="preserve"> </w:t>
      </w:r>
      <w:proofErr w:type="spellStart"/>
      <w:r w:rsidR="00843757" w:rsidRPr="00F60059">
        <w:rPr>
          <w:rFonts w:cs="Times New Roman"/>
          <w:i/>
          <w:szCs w:val="24"/>
          <w:lang w:val="fr-CA"/>
        </w:rPr>
        <w:t>Assembly</w:t>
      </w:r>
      <w:proofErr w:type="spellEnd"/>
      <w:r w:rsidR="00843757" w:rsidRPr="00F60059">
        <w:rPr>
          <w:rFonts w:cs="Times New Roman"/>
          <w:i/>
          <w:szCs w:val="24"/>
          <w:lang w:val="fr-CA"/>
        </w:rPr>
        <w:t xml:space="preserve"> (</w:t>
      </w:r>
      <w:proofErr w:type="spellStart"/>
      <w:r w:rsidRPr="00F60059">
        <w:rPr>
          <w:rFonts w:cs="Times New Roman"/>
          <w:i/>
          <w:szCs w:val="24"/>
          <w:lang w:val="fr-CA"/>
        </w:rPr>
        <w:t>Hansard</w:t>
      </w:r>
      <w:proofErr w:type="spellEnd"/>
      <w:r w:rsidR="00843757" w:rsidRPr="00F60059">
        <w:rPr>
          <w:rFonts w:cs="Times New Roman"/>
          <w:i/>
          <w:szCs w:val="24"/>
          <w:lang w:val="fr-CA"/>
        </w:rPr>
        <w:t>)</w:t>
      </w:r>
      <w:r w:rsidRPr="00F60059">
        <w:rPr>
          <w:rFonts w:cs="Times New Roman"/>
          <w:szCs w:val="24"/>
          <w:lang w:val="fr-CA"/>
        </w:rPr>
        <w:t xml:space="preserve"> de l’assemblée législative.  Interrogé au sujet des raisons de la suppressio</w:t>
      </w:r>
      <w:r w:rsidR="00843757" w:rsidRPr="00F60059">
        <w:rPr>
          <w:rFonts w:cs="Times New Roman"/>
          <w:szCs w:val="24"/>
          <w:lang w:val="fr-CA"/>
        </w:rPr>
        <w:t>n des facteurs obligatoires, l’h</w:t>
      </w:r>
      <w:r w:rsidRPr="00F60059">
        <w:rPr>
          <w:rFonts w:cs="Times New Roman"/>
          <w:szCs w:val="24"/>
          <w:lang w:val="fr-CA"/>
        </w:rPr>
        <w:t xml:space="preserve">onorable Geoff Plant, qui était procureur général de la </w:t>
      </w:r>
      <w:proofErr w:type="spellStart"/>
      <w:r w:rsidRPr="00F60059">
        <w:rPr>
          <w:rFonts w:cs="Times New Roman"/>
          <w:szCs w:val="24"/>
          <w:lang w:val="fr-CA"/>
        </w:rPr>
        <w:t>Colombie</w:t>
      </w:r>
      <w:r w:rsidRPr="00F60059">
        <w:rPr>
          <w:rFonts w:cs="Times New Roman"/>
          <w:szCs w:val="24"/>
          <w:lang w:val="fr-CA"/>
        </w:rPr>
        <w:noBreakHyphen/>
        <w:t>Britannique</w:t>
      </w:r>
      <w:proofErr w:type="spellEnd"/>
      <w:r w:rsidRPr="00F60059">
        <w:rPr>
          <w:rFonts w:cs="Times New Roman"/>
          <w:szCs w:val="24"/>
          <w:lang w:val="fr-CA"/>
        </w:rPr>
        <w:t xml:space="preserve"> et ministre responsable de l’application de cette loi à l’époque, a répondu ce qui suit : </w:t>
      </w:r>
    </w:p>
    <w:p w:rsidR="00E208A8" w:rsidRPr="00F60059" w:rsidRDefault="00E208A8" w:rsidP="00E208A8">
      <w:pPr>
        <w:pStyle w:val="Citation-AltC"/>
        <w:spacing w:after="240"/>
        <w:ind w:hanging="1166"/>
        <w:rPr>
          <w:lang w:val="fr-CA"/>
        </w:rPr>
      </w:pPr>
      <w:r w:rsidRPr="00F60059">
        <w:rPr>
          <w:lang w:val="fr-CA"/>
        </w:rPr>
        <w:lastRenderedPageBreak/>
        <w:tab/>
        <w:t>[</w:t>
      </w:r>
      <w:r w:rsidRPr="00F60059">
        <w:rPr>
          <w:smallCaps/>
          <w:lang w:val="fr-CA"/>
        </w:rPr>
        <w:t>traduction</w:t>
      </w:r>
      <w:r w:rsidRPr="00F60059">
        <w:rPr>
          <w:lang w:val="fr-CA"/>
        </w:rPr>
        <w:t xml:space="preserve">]  La question essentielle qui se pose chaque fois que l’on envisage l’exercice de ce pouvoir est celle de l’existence d’un autre mécanisme permettant de statuer de façon appropriée sur le fond de la plainte.  Selon nous, il s’agit là d’un test suffisant pour faire en sorte que le pouvoir soit exercé dans chaque cas conformément aux principes et aux objectifs du </w:t>
      </w:r>
      <w:r w:rsidRPr="00F60059">
        <w:rPr>
          <w:i/>
          <w:lang w:val="fr-CA"/>
        </w:rPr>
        <w:t>Code</w:t>
      </w:r>
      <w:r w:rsidRPr="00F60059">
        <w:rPr>
          <w:lang w:val="fr-CA"/>
        </w:rPr>
        <w:t xml:space="preserve">.  </w:t>
      </w:r>
      <w:r w:rsidRPr="00F60059">
        <w:rPr>
          <w:u w:val="single"/>
          <w:lang w:val="fr-CA"/>
        </w:rPr>
        <w:t>Il est fort possible que les membres du Tribunal prennent en compte les faits et les facteurs qui sont à présent mentionnés au paragraphe (3), mais nous n’avons pas jugé nécessaire que ces critères particuliers lient les membres du Tribunal.</w:t>
      </w:r>
    </w:p>
    <w:p w:rsidR="00E208A8" w:rsidRPr="00F60059" w:rsidRDefault="00E208A8" w:rsidP="00E208A8">
      <w:pPr>
        <w:pStyle w:val="Citation-AltC"/>
        <w:spacing w:after="240"/>
        <w:jc w:val="center"/>
        <w:rPr>
          <w:lang w:val="fr-CA"/>
        </w:rPr>
      </w:pPr>
      <w:r w:rsidRPr="00F60059">
        <w:rPr>
          <w:lang w:val="fr-CA"/>
        </w:rPr>
        <w:t>. . .</w:t>
      </w:r>
    </w:p>
    <w:p w:rsidR="00E208A8" w:rsidRPr="006D259A" w:rsidRDefault="00E208A8" w:rsidP="00C50B81">
      <w:pPr>
        <w:pStyle w:val="Citation-AltC"/>
        <w:tabs>
          <w:tab w:val="left" w:pos="1620"/>
        </w:tabs>
        <w:spacing w:after="240"/>
        <w:ind w:hanging="1166"/>
        <w:rPr>
          <w:lang w:val="en-US"/>
        </w:rPr>
      </w:pPr>
      <w:r w:rsidRPr="00F60059">
        <w:rPr>
          <w:lang w:val="fr-CA"/>
        </w:rPr>
        <w:tab/>
      </w:r>
      <w:r w:rsidR="00C50B81" w:rsidRPr="00F60059">
        <w:rPr>
          <w:lang w:val="fr-CA"/>
        </w:rPr>
        <w:tab/>
        <w:t xml:space="preserve">. . </w:t>
      </w:r>
      <w:r w:rsidR="00843757" w:rsidRPr="00F60059">
        <w:rPr>
          <w:lang w:val="fr-CA"/>
        </w:rPr>
        <w:t xml:space="preserve">. </w:t>
      </w:r>
      <w:r w:rsidRPr="00F60059">
        <w:rPr>
          <w:lang w:val="fr-CA"/>
        </w:rPr>
        <w:t xml:space="preserve">[Ce qu’accomplit la modification], c’est </w:t>
      </w:r>
      <w:r w:rsidRPr="00F60059">
        <w:rPr>
          <w:u w:val="single"/>
          <w:lang w:val="fr-CA"/>
        </w:rPr>
        <w:t>exprimer le principe ou le test de façon assez large et générale</w:t>
      </w:r>
      <w:r w:rsidRPr="00F60059">
        <w:rPr>
          <w:lang w:val="fr-CA"/>
        </w:rPr>
        <w:t xml:space="preserve">.  </w:t>
      </w:r>
      <w:proofErr w:type="gramStart"/>
      <w:r w:rsidRPr="006D259A">
        <w:rPr>
          <w:lang w:val="en-US"/>
        </w:rPr>
        <w:t xml:space="preserve">[Je </w:t>
      </w:r>
      <w:proofErr w:type="spellStart"/>
      <w:r w:rsidRPr="006D259A">
        <w:rPr>
          <w:lang w:val="en-US"/>
        </w:rPr>
        <w:t>souligne</w:t>
      </w:r>
      <w:proofErr w:type="spellEnd"/>
      <w:r w:rsidRPr="006D259A">
        <w:rPr>
          <w:lang w:val="en-US"/>
        </w:rPr>
        <w:t>.]</w:t>
      </w:r>
      <w:proofErr w:type="gramEnd"/>
    </w:p>
    <w:p w:rsidR="00E208A8" w:rsidRPr="00F60059" w:rsidRDefault="00E208A8" w:rsidP="00E208A8">
      <w:pPr>
        <w:pStyle w:val="Citation-AltC"/>
        <w:ind w:hanging="1166"/>
      </w:pPr>
      <w:r w:rsidRPr="006D259A">
        <w:rPr>
          <w:i/>
          <w:lang w:val="en-US"/>
        </w:rPr>
        <w:tab/>
      </w:r>
      <w:r w:rsidR="00843757" w:rsidRPr="006D259A">
        <w:rPr>
          <w:lang w:val="en-US"/>
        </w:rPr>
        <w:t>(</w:t>
      </w:r>
      <w:r w:rsidRPr="006D259A">
        <w:rPr>
          <w:i/>
          <w:lang w:val="en-US"/>
        </w:rPr>
        <w:t>Of</w:t>
      </w:r>
      <w:r w:rsidRPr="00F60059">
        <w:rPr>
          <w:i/>
          <w:lang w:val="en-US"/>
        </w:rPr>
        <w:t>ficial Report of Debates of the Legislative Assembly (</w:t>
      </w:r>
      <w:proofErr w:type="spellStart"/>
      <w:r w:rsidRPr="00F60059">
        <w:rPr>
          <w:i/>
          <w:lang w:val="en-US"/>
        </w:rPr>
        <w:t>Hansard</w:t>
      </w:r>
      <w:proofErr w:type="spellEnd"/>
      <w:r w:rsidRPr="00F60059">
        <w:rPr>
          <w:i/>
          <w:lang w:val="en-US"/>
        </w:rPr>
        <w:t>)</w:t>
      </w:r>
      <w:r w:rsidRPr="00F60059">
        <w:rPr>
          <w:lang w:val="en-US"/>
        </w:rPr>
        <w:t>, vol. 9, 3</w:t>
      </w:r>
      <w:r w:rsidRPr="00F60059">
        <w:rPr>
          <w:vertAlign w:val="superscript"/>
          <w:lang w:val="en-US"/>
        </w:rPr>
        <w:t>e</w:t>
      </w:r>
      <w:r w:rsidR="00843757" w:rsidRPr="00F60059">
        <w:rPr>
          <w:lang w:val="en-US"/>
        </w:rPr>
        <w:t> sess., 37</w:t>
      </w:r>
      <w:r w:rsidR="00843757" w:rsidRPr="00F60059">
        <w:rPr>
          <w:vertAlign w:val="superscript"/>
          <w:lang w:val="en-US"/>
        </w:rPr>
        <w:t>e</w:t>
      </w:r>
      <w:r w:rsidRPr="00F60059">
        <w:rPr>
          <w:lang w:val="en-US"/>
        </w:rPr>
        <w:t> </w:t>
      </w:r>
      <w:proofErr w:type="spellStart"/>
      <w:r w:rsidRPr="00F60059">
        <w:rPr>
          <w:lang w:val="en-US"/>
        </w:rPr>
        <w:t>lég</w:t>
      </w:r>
      <w:proofErr w:type="spellEnd"/>
      <w:r w:rsidRPr="00F60059">
        <w:rPr>
          <w:lang w:val="en-US"/>
        </w:rPr>
        <w:t xml:space="preserve">., 28 </w:t>
      </w:r>
      <w:proofErr w:type="spellStart"/>
      <w:r w:rsidRPr="00F60059">
        <w:rPr>
          <w:lang w:val="en-US"/>
        </w:rPr>
        <w:t>octobre</w:t>
      </w:r>
      <w:proofErr w:type="spellEnd"/>
      <w:r w:rsidRPr="00F60059">
        <w:rPr>
          <w:lang w:val="en-US"/>
        </w:rPr>
        <w:t xml:space="preserve"> 2002,</w:t>
      </w:r>
      <w:r w:rsidRPr="00F60059">
        <w:t xml:space="preserve"> p.</w:t>
      </w:r>
      <w:r w:rsidR="00843757" w:rsidRPr="00F60059">
        <w:t xml:space="preserve"> </w:t>
      </w:r>
      <w:r w:rsidRPr="00F60059">
        <w:t>4094</w:t>
      </w:r>
      <w:r w:rsidR="00843757" w:rsidRPr="00F60059">
        <w:t>)</w:t>
      </w:r>
      <w:r w:rsidRPr="00F60059">
        <w:t xml:space="preserv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Le législateur voulait manifestement élargir l’éventail des facteurs qu’un tribunal doit prendre en compte, et non le rétrécir.  J’ajouterais que les observations qu’a faites le ministre des Services gouvernementaux en deuxième lecture de la </w:t>
      </w:r>
      <w:proofErr w:type="spellStart"/>
      <w:r w:rsidRPr="00F60059">
        <w:rPr>
          <w:rFonts w:cs="Times New Roman"/>
          <w:i/>
          <w:szCs w:val="24"/>
          <w:lang w:val="fr-CA"/>
        </w:rPr>
        <w:t>Human</w:t>
      </w:r>
      <w:proofErr w:type="spellEnd"/>
      <w:r w:rsidRPr="00F60059">
        <w:rPr>
          <w:rFonts w:cs="Times New Roman"/>
          <w:i/>
          <w:szCs w:val="24"/>
          <w:lang w:val="fr-CA"/>
        </w:rPr>
        <w:t xml:space="preserve"> </w:t>
      </w:r>
      <w:proofErr w:type="spellStart"/>
      <w:r w:rsidRPr="00F60059">
        <w:rPr>
          <w:rFonts w:cs="Times New Roman"/>
          <w:i/>
          <w:szCs w:val="24"/>
          <w:lang w:val="fr-CA"/>
        </w:rPr>
        <w:t>Rights</w:t>
      </w:r>
      <w:proofErr w:type="spellEnd"/>
      <w:r w:rsidRPr="00F60059">
        <w:rPr>
          <w:rFonts w:cs="Times New Roman"/>
          <w:i/>
          <w:szCs w:val="24"/>
          <w:lang w:val="fr-CA"/>
        </w:rPr>
        <w:t xml:space="preserve"> </w:t>
      </w:r>
      <w:proofErr w:type="spellStart"/>
      <w:r w:rsidRPr="00F60059">
        <w:rPr>
          <w:rFonts w:cs="Times New Roman"/>
          <w:i/>
          <w:szCs w:val="24"/>
          <w:lang w:val="fr-CA"/>
        </w:rPr>
        <w:t>Amendment</w:t>
      </w:r>
      <w:proofErr w:type="spellEnd"/>
      <w:r w:rsidRPr="00F60059">
        <w:rPr>
          <w:rFonts w:cs="Times New Roman"/>
          <w:i/>
          <w:szCs w:val="24"/>
          <w:lang w:val="fr-CA"/>
        </w:rPr>
        <w:t xml:space="preserve"> </w:t>
      </w:r>
      <w:proofErr w:type="spellStart"/>
      <w:r w:rsidRPr="00F60059">
        <w:rPr>
          <w:rFonts w:cs="Times New Roman"/>
          <w:i/>
          <w:szCs w:val="24"/>
          <w:lang w:val="fr-CA"/>
        </w:rPr>
        <w:t>Act</w:t>
      </w:r>
      <w:proofErr w:type="spellEnd"/>
      <w:r w:rsidRPr="00F60059">
        <w:rPr>
          <w:rFonts w:cs="Times New Roman"/>
          <w:i/>
          <w:szCs w:val="24"/>
          <w:lang w:val="fr-CA"/>
        </w:rPr>
        <w:t>, 1995</w:t>
      </w:r>
      <w:r w:rsidRPr="00F60059">
        <w:rPr>
          <w:rFonts w:cs="Times New Roman"/>
          <w:szCs w:val="24"/>
          <w:lang w:val="fr-CA"/>
        </w:rPr>
        <w:t>, S.B.C. 1995, ch. 42, que cite la juge Abella au par. 43, n’ont aucun rapport avec la portée du pouvoir discrétionnaire exercé aux termes de l’al. 27(1)f) ou des dispositions qui l’ont précédé.</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Le cadre législatif dans lequel s’inscrit cette Loi constitue un autre aspect de son contexte législatif.  J’ai déjà exposé mon interprétation des principes de la </w:t>
      </w:r>
      <w:proofErr w:type="spellStart"/>
      <w:r w:rsidRPr="00F60059">
        <w:rPr>
          <w:rFonts w:cs="Times New Roman"/>
          <w:szCs w:val="24"/>
          <w:lang w:val="fr-CA"/>
        </w:rPr>
        <w:t>common</w:t>
      </w:r>
      <w:proofErr w:type="spellEnd"/>
      <w:r w:rsidRPr="00F60059">
        <w:rPr>
          <w:rFonts w:cs="Times New Roman"/>
          <w:szCs w:val="24"/>
          <w:lang w:val="fr-CA"/>
        </w:rPr>
        <w:t xml:space="preserve"> </w:t>
      </w:r>
      <w:proofErr w:type="spellStart"/>
      <w:r w:rsidRPr="00F60059">
        <w:rPr>
          <w:rFonts w:cs="Times New Roman"/>
          <w:szCs w:val="24"/>
          <w:lang w:val="fr-CA"/>
        </w:rPr>
        <w:t>law</w:t>
      </w:r>
      <w:proofErr w:type="spellEnd"/>
      <w:r w:rsidRPr="00F60059">
        <w:rPr>
          <w:rFonts w:cs="Times New Roman"/>
          <w:szCs w:val="24"/>
          <w:lang w:val="fr-CA"/>
        </w:rPr>
        <w:t xml:space="preserve"> régissant l’application discrétionnaire des doctrines relatives au caractère définitif des décisions en droit administratif.  Dans ce contexte, j’estime qu’il est plus réaliste de voir dans la disposition en cause un assouplissement des restrictions posées par la </w:t>
      </w:r>
      <w:proofErr w:type="spellStart"/>
      <w:r w:rsidRPr="00F60059">
        <w:rPr>
          <w:rFonts w:cs="Times New Roman"/>
          <w:szCs w:val="24"/>
          <w:lang w:val="fr-CA"/>
        </w:rPr>
        <w:t>common</w:t>
      </w:r>
      <w:proofErr w:type="spellEnd"/>
      <w:r w:rsidRPr="00F60059">
        <w:rPr>
          <w:rFonts w:cs="Times New Roman"/>
          <w:szCs w:val="24"/>
          <w:lang w:val="fr-CA"/>
        </w:rPr>
        <w:t xml:space="preserve"> </w:t>
      </w:r>
      <w:proofErr w:type="spellStart"/>
      <w:r w:rsidRPr="00F60059">
        <w:rPr>
          <w:rFonts w:cs="Times New Roman"/>
          <w:szCs w:val="24"/>
          <w:lang w:val="fr-CA"/>
        </w:rPr>
        <w:t>law</w:t>
      </w:r>
      <w:proofErr w:type="spellEnd"/>
      <w:r w:rsidRPr="00F60059">
        <w:rPr>
          <w:rFonts w:cs="Times New Roman"/>
          <w:szCs w:val="24"/>
          <w:lang w:val="fr-CA"/>
        </w:rPr>
        <w:t xml:space="preserve">.  </w:t>
      </w:r>
    </w:p>
    <w:p w:rsidR="00E208A8" w:rsidRPr="00F60059" w:rsidRDefault="00E208A8" w:rsidP="00E208A8">
      <w:pPr>
        <w:pStyle w:val="ParaNoNdepar-AltN"/>
        <w:tabs>
          <w:tab w:val="clear" w:pos="1166"/>
          <w:tab w:val="num" w:pos="1152"/>
        </w:tabs>
        <w:rPr>
          <w:rFonts w:cs="Times New Roman"/>
          <w:i/>
          <w:iCs/>
          <w:szCs w:val="24"/>
          <w:lang w:val="fr-CA"/>
        </w:rPr>
      </w:pPr>
      <w:r w:rsidRPr="00F60059">
        <w:rPr>
          <w:rFonts w:cs="Times New Roman"/>
          <w:iCs/>
          <w:szCs w:val="24"/>
          <w:lang w:val="fr-CA"/>
        </w:rPr>
        <w:lastRenderedPageBreak/>
        <w:t>Le cadre juridique préexistant comportait aussi une politique élaborée par le commissaire aux enquêtes et à la médiation sous le régime de la loi antérieure (</w:t>
      </w:r>
      <w:proofErr w:type="spellStart"/>
      <w:r w:rsidRPr="00F60059">
        <w:rPr>
          <w:rFonts w:cs="Times New Roman"/>
          <w:i/>
          <w:iCs/>
          <w:szCs w:val="24"/>
          <w:lang w:val="fr-CA"/>
        </w:rPr>
        <w:t>Human</w:t>
      </w:r>
      <w:proofErr w:type="spellEnd"/>
      <w:r w:rsidRPr="00F60059">
        <w:rPr>
          <w:rFonts w:cs="Times New Roman"/>
          <w:i/>
          <w:iCs/>
          <w:szCs w:val="24"/>
          <w:lang w:val="fr-CA"/>
        </w:rPr>
        <w:t xml:space="preserve"> </w:t>
      </w:r>
      <w:proofErr w:type="spellStart"/>
      <w:r w:rsidRPr="00F60059">
        <w:rPr>
          <w:rFonts w:cs="Times New Roman"/>
          <w:i/>
          <w:iCs/>
          <w:szCs w:val="24"/>
          <w:lang w:val="fr-CA"/>
        </w:rPr>
        <w:t>Rights</w:t>
      </w:r>
      <w:proofErr w:type="spellEnd"/>
      <w:r w:rsidRPr="00F60059">
        <w:rPr>
          <w:rFonts w:cs="Times New Roman"/>
          <w:i/>
          <w:iCs/>
          <w:szCs w:val="24"/>
          <w:lang w:val="fr-CA"/>
        </w:rPr>
        <w:t xml:space="preserve"> Code</w:t>
      </w:r>
      <w:r w:rsidRPr="00F60059">
        <w:rPr>
          <w:rFonts w:cs="Times New Roman"/>
          <w:iCs/>
          <w:szCs w:val="24"/>
          <w:lang w:val="fr-CA"/>
        </w:rPr>
        <w:t xml:space="preserve">, R.S.B.C. 1996, ch. 210, art. 27) pour guider la prise de décision au sujet des suites à donner à une plainte ayant fait l’objet d’une autre instance.  Cette politique demandait l’examen de facteurs tels les suivants : </w:t>
      </w:r>
    </w:p>
    <w:p w:rsidR="00E208A8" w:rsidRPr="00F60059" w:rsidRDefault="00E208A8" w:rsidP="00E208A8">
      <w:pPr>
        <w:pStyle w:val="Citation-AltC"/>
        <w:spacing w:after="240"/>
        <w:ind w:hanging="1166"/>
        <w:rPr>
          <w:lang w:val="fr-CA"/>
        </w:rPr>
      </w:pPr>
      <w:r w:rsidRPr="00F60059">
        <w:rPr>
          <w:lang w:val="fr-CA"/>
        </w:rPr>
        <w:tab/>
        <w:t>[</w:t>
      </w:r>
      <w:r w:rsidRPr="00F60059">
        <w:rPr>
          <w:smallCaps/>
          <w:lang w:val="fr-CA"/>
        </w:rPr>
        <w:t>traduction</w:t>
      </w:r>
      <w:r w:rsidRPr="00F60059">
        <w:rPr>
          <w:lang w:val="fr-CA"/>
        </w:rPr>
        <w:t xml:space="preserve">]  (1) l’équité administrative de l’autre instance, (2) l’expertise des décideurs et enquêteurs, (3) la possibilité que l’instance comporte l’examen d’importantes questions de droits de la personne relevant des considérations d’intérêt public énoncées au Code, (4) le forum le plus approprié pour l’examen de ces questions, (5) la protection que l’autre instance offre au plaignant contre la pratique discriminatoire, </w:t>
      </w:r>
      <w:r w:rsidR="00B929B4">
        <w:rPr>
          <w:lang w:val="fr-CA"/>
        </w:rPr>
        <w:t xml:space="preserve">et </w:t>
      </w:r>
      <w:r w:rsidRPr="00F60059">
        <w:rPr>
          <w:lang w:val="fr-CA"/>
        </w:rPr>
        <w:t>(6) l’existence d’un conflit entre les buts et objets du Code et l’autre instance, et des considérations pratiques incluant la durée probable de chaque instance, leurs conséquences en termes de tension psychologique et de relations personnelles et le résultat à long terme des processus</w:t>
      </w:r>
      <w:r w:rsidR="00843757" w:rsidRPr="00F60059">
        <w:rPr>
          <w:lang w:val="fr-CA"/>
        </w:rPr>
        <w:t>.</w:t>
      </w:r>
      <w:r w:rsidRPr="00F60059">
        <w:rPr>
          <w:lang w:val="fr-CA"/>
        </w:rPr>
        <w:t xml:space="preserve"> </w:t>
      </w:r>
    </w:p>
    <w:p w:rsidR="00E208A8" w:rsidRPr="00F60059" w:rsidRDefault="00C50B81" w:rsidP="00C50B81">
      <w:pPr>
        <w:pStyle w:val="Citation-AltC"/>
        <w:tabs>
          <w:tab w:val="left" w:pos="1170"/>
        </w:tabs>
        <w:ind w:hanging="1166"/>
        <w:rPr>
          <w:lang w:val="en-US"/>
        </w:rPr>
      </w:pPr>
      <w:r w:rsidRPr="006D259A">
        <w:rPr>
          <w:lang w:val="fr-CA"/>
        </w:rPr>
        <w:tab/>
      </w:r>
      <w:r w:rsidR="00843757" w:rsidRPr="00F60059">
        <w:rPr>
          <w:lang w:val="en-US"/>
        </w:rPr>
        <w:t>(</w:t>
      </w:r>
      <w:r w:rsidR="00E208A8" w:rsidRPr="00F60059">
        <w:rPr>
          <w:lang w:val="en-US"/>
        </w:rPr>
        <w:t>D. K. Lovett et A. R. </w:t>
      </w:r>
      <w:proofErr w:type="spellStart"/>
      <w:r w:rsidR="00E208A8" w:rsidRPr="00F60059">
        <w:rPr>
          <w:lang w:val="en-US"/>
        </w:rPr>
        <w:t>Westmacott</w:t>
      </w:r>
      <w:proofErr w:type="spellEnd"/>
      <w:r w:rsidR="00E208A8" w:rsidRPr="00F60059">
        <w:rPr>
          <w:lang w:val="en-US"/>
        </w:rPr>
        <w:t>,</w:t>
      </w:r>
      <w:r w:rsidR="00E208A8" w:rsidRPr="00F60059">
        <w:rPr>
          <w:i/>
          <w:lang w:val="en-US"/>
        </w:rPr>
        <w:t xml:space="preserve"> </w:t>
      </w:r>
      <w:r w:rsidR="00843757" w:rsidRPr="00F60059">
        <w:rPr>
          <w:lang w:val="en-US"/>
        </w:rPr>
        <w:t xml:space="preserve">« Human Rights </w:t>
      </w:r>
      <w:proofErr w:type="gramStart"/>
      <w:r w:rsidR="00843757" w:rsidRPr="00F60059">
        <w:rPr>
          <w:lang w:val="en-US"/>
        </w:rPr>
        <w:t>Review :</w:t>
      </w:r>
      <w:proofErr w:type="gramEnd"/>
      <w:r w:rsidR="00843757" w:rsidRPr="00F60059">
        <w:rPr>
          <w:lang w:val="en-US"/>
        </w:rPr>
        <w:t xml:space="preserve"> A Background P</w:t>
      </w:r>
      <w:r w:rsidR="00E208A8" w:rsidRPr="00F60059">
        <w:rPr>
          <w:lang w:val="en-US"/>
        </w:rPr>
        <w:t>aper » (200</w:t>
      </w:r>
      <w:r w:rsidR="00843757" w:rsidRPr="00F60059">
        <w:rPr>
          <w:lang w:val="en-US"/>
        </w:rPr>
        <w:t xml:space="preserve">1) (en </w:t>
      </w:r>
      <w:proofErr w:type="spellStart"/>
      <w:r w:rsidR="00843757" w:rsidRPr="00F60059">
        <w:rPr>
          <w:lang w:val="en-US"/>
        </w:rPr>
        <w:t>ligne</w:t>
      </w:r>
      <w:proofErr w:type="spellEnd"/>
      <w:r w:rsidR="00843757" w:rsidRPr="00F60059">
        <w:rPr>
          <w:lang w:val="en-US"/>
        </w:rPr>
        <w:t>), p. 100, note 128)</w:t>
      </w:r>
    </w:p>
    <w:p w:rsidR="00E208A8" w:rsidRPr="00F60059" w:rsidRDefault="00E208A8" w:rsidP="00E208A8">
      <w:pPr>
        <w:pStyle w:val="ParaNoNdepar-AltN"/>
        <w:tabs>
          <w:tab w:val="clear" w:pos="1166"/>
          <w:tab w:val="num" w:pos="1152"/>
        </w:tabs>
        <w:rPr>
          <w:rFonts w:cs="Times New Roman"/>
          <w:iCs/>
          <w:szCs w:val="24"/>
          <w:lang w:val="fr-CA"/>
        </w:rPr>
      </w:pPr>
      <w:r w:rsidRPr="00F60059">
        <w:rPr>
          <w:rFonts w:cs="Times New Roman"/>
          <w:iCs/>
          <w:szCs w:val="24"/>
          <w:lang w:val="fr-CA"/>
        </w:rPr>
        <w:t xml:space="preserve">La formulation générale employée à l’al. 27(1)f), introduite dans la pratique préexistante, ne renforce pas le point de vue selon lequel on voulait donner une portée étroite au pouvoir discrétionnaire; elle permet de déduire le contraire.  </w:t>
      </w:r>
    </w:p>
    <w:p w:rsidR="00E208A8" w:rsidRPr="00F60059" w:rsidRDefault="00E208A8" w:rsidP="00E208A8">
      <w:pPr>
        <w:pStyle w:val="ParaNoNdepar-AltN"/>
        <w:tabs>
          <w:tab w:val="clear" w:pos="1166"/>
          <w:tab w:val="num" w:pos="1152"/>
        </w:tabs>
        <w:rPr>
          <w:rFonts w:cs="Times New Roman"/>
          <w:iCs/>
          <w:szCs w:val="24"/>
          <w:lang w:val="fr-CA"/>
        </w:rPr>
      </w:pPr>
      <w:r w:rsidRPr="00F60059">
        <w:rPr>
          <w:rFonts w:cs="Times New Roman"/>
          <w:iCs/>
          <w:szCs w:val="24"/>
          <w:lang w:val="fr-CA"/>
        </w:rPr>
        <w:t xml:space="preserve">Le pouvoir d’ajourner l’examen d’une plainte jusqu’à ce qu’elle soit tranchée dans un autre forum, conféré en termes similaires au par. 25(2) du </w:t>
      </w:r>
      <w:r w:rsidRPr="00F60059">
        <w:rPr>
          <w:rFonts w:cs="Times New Roman"/>
          <w:i/>
          <w:iCs/>
          <w:szCs w:val="24"/>
          <w:lang w:val="fr-CA"/>
        </w:rPr>
        <w:t>Code</w:t>
      </w:r>
      <w:r w:rsidRPr="00F60059">
        <w:rPr>
          <w:rFonts w:cs="Times New Roman"/>
          <w:iCs/>
          <w:szCs w:val="24"/>
          <w:lang w:val="fr-CA"/>
        </w:rPr>
        <w:t xml:space="preserve">, fournit un dernier élément contextuel.  Voici le texte de cette disposition : </w:t>
      </w:r>
    </w:p>
    <w:p w:rsidR="00E208A8" w:rsidRPr="00F60059" w:rsidRDefault="00E208A8" w:rsidP="00E208A8">
      <w:pPr>
        <w:pStyle w:val="Citation-AltC"/>
        <w:spacing w:after="240"/>
        <w:ind w:hanging="1166"/>
        <w:rPr>
          <w:lang w:val="fr-CA"/>
        </w:rPr>
      </w:pPr>
      <w:r w:rsidRPr="00F60059">
        <w:rPr>
          <w:lang w:val="fr-CA"/>
        </w:rPr>
        <w:tab/>
        <w:t>[</w:t>
      </w:r>
      <w:r w:rsidRPr="00F60059">
        <w:rPr>
          <w:smallCaps/>
          <w:lang w:val="fr-CA"/>
        </w:rPr>
        <w:t>traduction</w:t>
      </w:r>
      <w:r w:rsidRPr="00F60059">
        <w:rPr>
          <w:lang w:val="fr-CA"/>
        </w:rPr>
        <w:t>]</w:t>
      </w:r>
    </w:p>
    <w:p w:rsidR="00E208A8" w:rsidRPr="00F60059" w:rsidRDefault="00E208A8" w:rsidP="00C50B81">
      <w:pPr>
        <w:pStyle w:val="Citation-AltC"/>
        <w:tabs>
          <w:tab w:val="left" w:pos="1170"/>
          <w:tab w:val="left" w:pos="1980"/>
        </w:tabs>
        <w:spacing w:after="240"/>
        <w:ind w:left="1980" w:hanging="1980"/>
        <w:rPr>
          <w:lang w:val="fr-CA"/>
        </w:rPr>
      </w:pPr>
      <w:r w:rsidRPr="00F60059">
        <w:rPr>
          <w:b/>
          <w:lang w:val="fr-CA"/>
        </w:rPr>
        <w:lastRenderedPageBreak/>
        <w:tab/>
        <w:t>25.</w:t>
      </w:r>
      <w:r w:rsidR="00C50B81" w:rsidRPr="00F60059">
        <w:rPr>
          <w:lang w:val="fr-CA"/>
        </w:rPr>
        <w:t xml:space="preserve"> . . .</w:t>
      </w:r>
    </w:p>
    <w:p w:rsidR="00E208A8" w:rsidRPr="00F60059" w:rsidRDefault="00E208A8" w:rsidP="00C50B81">
      <w:pPr>
        <w:pStyle w:val="Citation-AltC"/>
        <w:tabs>
          <w:tab w:val="left" w:pos="1440"/>
          <w:tab w:val="left" w:pos="1980"/>
        </w:tabs>
        <w:ind w:left="1987" w:hanging="1987"/>
        <w:rPr>
          <w:lang w:val="fr-CA"/>
        </w:rPr>
      </w:pPr>
      <w:r w:rsidRPr="00F60059">
        <w:rPr>
          <w:lang w:val="fr-CA"/>
        </w:rPr>
        <w:tab/>
        <w:t>(2)</w:t>
      </w:r>
      <w:r w:rsidRPr="00F60059">
        <w:rPr>
          <w:lang w:val="fr-CA"/>
        </w:rPr>
        <w:tab/>
        <w:t xml:space="preserve">Un </w:t>
      </w:r>
      <w:r w:rsidRPr="00F60059">
        <w:rPr>
          <w:szCs w:val="20"/>
          <w:lang w:val="fr-CA"/>
        </w:rPr>
        <w:t>membre</w:t>
      </w:r>
      <w:r w:rsidRPr="00F60059">
        <w:rPr>
          <w:lang w:val="fr-CA"/>
        </w:rPr>
        <w:t xml:space="preserve"> ou une formation qui est d’avis qu’</w:t>
      </w:r>
      <w:r w:rsidRPr="00F60059">
        <w:rPr>
          <w:u w:val="single"/>
          <w:lang w:val="fr-CA"/>
        </w:rPr>
        <w:t>une autre instance permet de statuer de façon appropriée sur le fond de la plainte</w:t>
      </w:r>
      <w:r w:rsidRPr="00F60059">
        <w:rPr>
          <w:lang w:val="fr-CA"/>
        </w:rPr>
        <w:t xml:space="preserve"> peut à tout moment après le dépôt de </w:t>
      </w:r>
      <w:proofErr w:type="spellStart"/>
      <w:r w:rsidRPr="00F60059">
        <w:rPr>
          <w:lang w:val="fr-CA"/>
        </w:rPr>
        <w:t>celle</w:t>
      </w:r>
      <w:r w:rsidRPr="00F60059">
        <w:rPr>
          <w:lang w:val="fr-CA"/>
        </w:rPr>
        <w:noBreakHyphen/>
        <w:t>ci</w:t>
      </w:r>
      <w:proofErr w:type="spellEnd"/>
      <w:r w:rsidRPr="00F60059">
        <w:rPr>
          <w:lang w:val="fr-CA"/>
        </w:rPr>
        <w:t xml:space="preserve"> en ajourner l’examen jusqu’à l’issue de l’autre instance.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Le pouvoir discrétionnaire d’ajourner l’examen d’une plainte ne repose pas sur les doctrines relatives au caractère définitif des décisions parce qu’au moment de l’examen de l’ajournement, aucune autre décision définitive n’a encore été rendue.  Néanmoins, le législateur a choisi de conférer le pouvoir dans les termes mêmes qu’il a employés pour conférer le pouvoir discrétionnaire de rejeter une plainte.  Ce recours à la même formulation à l’al. 27(1)f) indique à mon avis que le législateur souhaitait accorder un pouvoir discrétionnaire large et souple.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Compte tenu du texte, du contexte et de l’objectif de l’al. 27(1)f), je suis d’avis que le pouvoir discrétionnaire qu’il confère se voulait large.</w:t>
      </w:r>
    </w:p>
    <w:p w:rsidR="00E208A8" w:rsidRPr="00F60059" w:rsidRDefault="00E208A8" w:rsidP="00E208A8">
      <w:pPr>
        <w:pStyle w:val="TitleTitre-AltT"/>
        <w:keepNext/>
        <w:tabs>
          <w:tab w:val="clear" w:pos="360"/>
        </w:tabs>
        <w:spacing w:after="720"/>
        <w:rPr>
          <w:i/>
          <w:lang w:val="fr-CA"/>
        </w:rPr>
      </w:pPr>
      <w:r w:rsidRPr="00F60059">
        <w:rPr>
          <w:lang w:val="fr-CA"/>
        </w:rPr>
        <w:t>C.</w:t>
      </w:r>
      <w:r w:rsidRPr="00F60059">
        <w:rPr>
          <w:lang w:val="fr-CA"/>
        </w:rPr>
        <w:tab/>
      </w:r>
      <w:r w:rsidRPr="00F60059">
        <w:rPr>
          <w:i/>
          <w:lang w:val="fr-CA"/>
        </w:rPr>
        <w:t>L’exercice</w:t>
      </w:r>
      <w:r w:rsidRPr="00F60059">
        <w:rPr>
          <w:lang w:val="fr-CA"/>
        </w:rPr>
        <w:t xml:space="preserve"> </w:t>
      </w:r>
      <w:r w:rsidRPr="00F60059">
        <w:rPr>
          <w:i/>
          <w:lang w:val="fr-CA"/>
        </w:rPr>
        <w:t>du pouvoir discrétionnaire</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À mon sens, l’al. 27(1)f) élargit de deux façons la portée des doctrines de la </w:t>
      </w:r>
      <w:proofErr w:type="spellStart"/>
      <w:r w:rsidRPr="00F60059">
        <w:rPr>
          <w:rFonts w:cs="Times New Roman"/>
          <w:szCs w:val="24"/>
          <w:lang w:val="fr-CA"/>
        </w:rPr>
        <w:t>common</w:t>
      </w:r>
      <w:proofErr w:type="spellEnd"/>
      <w:r w:rsidRPr="00F60059">
        <w:rPr>
          <w:rFonts w:cs="Times New Roman"/>
          <w:szCs w:val="24"/>
          <w:lang w:val="fr-CA"/>
        </w:rPr>
        <w:t xml:space="preserve"> </w:t>
      </w:r>
      <w:proofErr w:type="spellStart"/>
      <w:r w:rsidRPr="00F60059">
        <w:rPr>
          <w:rFonts w:cs="Times New Roman"/>
          <w:szCs w:val="24"/>
          <w:lang w:val="fr-CA"/>
        </w:rPr>
        <w:t>law</w:t>
      </w:r>
      <w:proofErr w:type="spellEnd"/>
      <w:r w:rsidRPr="00F60059">
        <w:rPr>
          <w:rFonts w:cs="Times New Roman"/>
          <w:szCs w:val="24"/>
          <w:lang w:val="fr-CA"/>
        </w:rPr>
        <w:t xml:space="preserve"> relatives au caractère définitif des décisions.  Puisqu’il faut déterminer si le fond de la plainte a été examiné dans une autre instance, l’accent doit porter sur le fond de la plainte — son « essence », pour reprendre le terme employé dans </w:t>
      </w:r>
      <w:r w:rsidRPr="00F60059">
        <w:rPr>
          <w:rFonts w:cs="Times New Roman"/>
          <w:i/>
          <w:szCs w:val="24"/>
          <w:lang w:val="fr-CA"/>
        </w:rPr>
        <w:t>Weber c. Ontario Hydro</w:t>
      </w:r>
      <w:r w:rsidRPr="00F60059">
        <w:rPr>
          <w:rFonts w:cs="Times New Roman"/>
          <w:szCs w:val="24"/>
          <w:lang w:val="fr-CA"/>
        </w:rPr>
        <w:t>, [1995] 2 R.C.S. 929, par. 52</w:t>
      </w:r>
      <w:r w:rsidR="007941DE" w:rsidRPr="00F60059">
        <w:rPr>
          <w:rFonts w:cs="Times New Roman"/>
          <w:szCs w:val="24"/>
          <w:lang w:val="fr-CA"/>
        </w:rPr>
        <w:t>;</w:t>
      </w:r>
      <w:r w:rsidRPr="00F60059">
        <w:rPr>
          <w:rFonts w:cs="Times New Roman"/>
          <w:szCs w:val="24"/>
          <w:lang w:val="fr-CA"/>
        </w:rPr>
        <w:t xml:space="preserve"> et </w:t>
      </w:r>
      <w:proofErr w:type="spellStart"/>
      <w:r w:rsidRPr="00F60059">
        <w:rPr>
          <w:rFonts w:cs="Times New Roman"/>
          <w:i/>
          <w:szCs w:val="24"/>
          <w:lang w:val="fr-CA"/>
        </w:rPr>
        <w:t>Villella</w:t>
      </w:r>
      <w:proofErr w:type="spellEnd"/>
      <w:r w:rsidRPr="00F60059">
        <w:rPr>
          <w:rFonts w:cs="Times New Roman"/>
          <w:i/>
          <w:szCs w:val="24"/>
          <w:lang w:val="fr-CA"/>
        </w:rPr>
        <w:t xml:space="preserve"> c. Vancouver (City)</w:t>
      </w:r>
      <w:r w:rsidRPr="00F60059">
        <w:rPr>
          <w:rFonts w:cs="Times New Roman"/>
          <w:szCs w:val="24"/>
          <w:lang w:val="fr-CA"/>
        </w:rPr>
        <w:t>, 2005</w:t>
      </w:r>
      <w:r w:rsidR="007941DE" w:rsidRPr="00F60059">
        <w:rPr>
          <w:rFonts w:cs="Times New Roman"/>
          <w:szCs w:val="24"/>
          <w:lang w:val="fr-CA"/>
        </w:rPr>
        <w:t xml:space="preserve"> BCHRT 405, [2005]</w:t>
      </w:r>
      <w:r w:rsidRPr="00F60059">
        <w:rPr>
          <w:rFonts w:cs="Times New Roman"/>
          <w:szCs w:val="24"/>
          <w:lang w:val="fr-CA"/>
        </w:rPr>
        <w:t xml:space="preserve"> B.C.H.R.T.D. No. 405 (QL), par. 21.  Il ne porte </w:t>
      </w:r>
      <w:r w:rsidRPr="00F60059">
        <w:rPr>
          <w:rFonts w:cs="Times New Roman"/>
          <w:szCs w:val="24"/>
          <w:lang w:val="fr-CA"/>
        </w:rPr>
        <w:lastRenderedPageBreak/>
        <w:t xml:space="preserve">pas sur les exigences techniques de ces doctrines, telles l’identité des parties, la réciprocité, l’identité des demandes, etc.  Cette disposition fait porter l’attention sur le fond de l’affaire, non sur les aspects </w:t>
      </w:r>
      <w:proofErr w:type="gramStart"/>
      <w:r w:rsidRPr="00F60059">
        <w:rPr>
          <w:rFonts w:cs="Times New Roman"/>
          <w:szCs w:val="24"/>
          <w:lang w:val="fr-CA"/>
        </w:rPr>
        <w:t>procéduraux ou formels</w:t>
      </w:r>
      <w:proofErr w:type="gramEnd"/>
      <w:r w:rsidRPr="00F60059">
        <w:rPr>
          <w:rFonts w:cs="Times New Roman"/>
          <w:szCs w:val="24"/>
          <w:lang w:val="fr-CA"/>
        </w:rPr>
        <w:t xml:space="preserve">.  Si le Tribunal conclut qu’il n’a pas dans les faits été statué sur le fond de la plainte, l’examen prévu à l’al. 27(1)f) est terminé, et le rejet de la plainte n’est pas fondé.  Si la plainte a déjà été examinée au fond, les intérêts importants que revêtent le caractère définitif de la décision et le recours aux mécanismes de révision applicables entrent en jeu, et le Tribunal doit alors exercer son pouvoir discrétionnaire en reconnaissant qu’il y a lieu d’attribuer à ces intérêts un poids appréciable.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Si le fond de la plainte a fait l’objet d’un examen dans une autre instance, le Tribunal doit établir si un élément des circonstances de l’affaire fait en sorte qu’il ne conviendrait pas d’appliquer le principe général du caractère définitif de la décision antérieure.  La Loi ne </w:t>
      </w:r>
      <w:r w:rsidR="00B929B4">
        <w:rPr>
          <w:rFonts w:cs="Times New Roman"/>
          <w:szCs w:val="24"/>
          <w:lang w:val="fr-CA"/>
        </w:rPr>
        <w:t>mentionne aucun facteur que le T</w:t>
      </w:r>
      <w:r w:rsidRPr="00F60059">
        <w:rPr>
          <w:rFonts w:cs="Times New Roman"/>
          <w:szCs w:val="24"/>
          <w:lang w:val="fr-CA"/>
        </w:rPr>
        <w:t xml:space="preserve">ribunal doit prendre en compte dans l’exercice de son pouvoir discrétionnaire de rejeter ou non la plainte, hormis le caractère approprié de son examen antérieur au fond.  Ce pouvoir discrétionnaire </w:t>
      </w:r>
      <w:r w:rsidR="007941DE" w:rsidRPr="00F60059">
        <w:rPr>
          <w:rFonts w:cs="Times New Roman"/>
          <w:szCs w:val="24"/>
          <w:lang w:val="fr-CA"/>
        </w:rPr>
        <w:t xml:space="preserve">est </w:t>
      </w:r>
      <w:r w:rsidRPr="00F60059">
        <w:rPr>
          <w:rFonts w:cs="Times New Roman"/>
          <w:szCs w:val="24"/>
          <w:lang w:val="fr-CA"/>
        </w:rPr>
        <w:t>[</w:t>
      </w:r>
      <w:r w:rsidRPr="00F60059">
        <w:rPr>
          <w:rFonts w:cs="Times New Roman"/>
          <w:smallCaps/>
          <w:szCs w:val="24"/>
          <w:lang w:val="fr-CA"/>
        </w:rPr>
        <w:t>traduction</w:t>
      </w:r>
      <w:r w:rsidR="007941DE" w:rsidRPr="00F60059">
        <w:rPr>
          <w:rFonts w:cs="Times New Roman"/>
          <w:szCs w:val="24"/>
          <w:lang w:val="fr-CA"/>
        </w:rPr>
        <w:t>] « </w:t>
      </w:r>
      <w:r w:rsidRPr="00F60059">
        <w:rPr>
          <w:rFonts w:cs="Times New Roman"/>
          <w:szCs w:val="24"/>
          <w:lang w:val="fr-CA"/>
        </w:rPr>
        <w:t xml:space="preserve">nécessairement exercé au cas par cas et son application dépend de l’ensemble des circonstances » : </w:t>
      </w:r>
      <w:proofErr w:type="spellStart"/>
      <w:r w:rsidRPr="00F60059">
        <w:rPr>
          <w:rFonts w:cs="Times New Roman"/>
          <w:i/>
          <w:szCs w:val="24"/>
          <w:lang w:val="fr-CA"/>
        </w:rPr>
        <w:t>Schweneke</w:t>
      </w:r>
      <w:proofErr w:type="spellEnd"/>
      <w:r w:rsidRPr="00F60059">
        <w:rPr>
          <w:rFonts w:cs="Times New Roman"/>
          <w:i/>
          <w:szCs w:val="24"/>
          <w:lang w:val="fr-CA"/>
        </w:rPr>
        <w:t xml:space="preserve"> c. Ontario</w:t>
      </w:r>
      <w:r w:rsidRPr="00F60059">
        <w:rPr>
          <w:rFonts w:cs="Times New Roman"/>
          <w:szCs w:val="24"/>
          <w:lang w:val="fr-CA"/>
        </w:rPr>
        <w:t xml:space="preserve"> (2000), 47 O.R. (3d) 97 (C.A.), par. 38 et 43, cité et approuvé dans </w:t>
      </w:r>
      <w:proofErr w:type="spellStart"/>
      <w:r w:rsidRPr="00F60059">
        <w:rPr>
          <w:rFonts w:cs="Times New Roman"/>
          <w:i/>
          <w:szCs w:val="24"/>
          <w:lang w:val="fr-CA"/>
        </w:rPr>
        <w:t>Danyluk</w:t>
      </w:r>
      <w:proofErr w:type="spellEnd"/>
      <w:r w:rsidRPr="00F60059">
        <w:rPr>
          <w:rFonts w:cs="Times New Roman"/>
          <w:szCs w:val="24"/>
          <w:lang w:val="fr-CA"/>
        </w:rPr>
        <w:t xml:space="preserve">, au par. 63.  Toutefois, l’arrêt </w:t>
      </w:r>
      <w:proofErr w:type="spellStart"/>
      <w:r w:rsidRPr="00F60059">
        <w:rPr>
          <w:rFonts w:cs="Times New Roman"/>
          <w:i/>
          <w:szCs w:val="24"/>
          <w:lang w:val="fr-CA"/>
        </w:rPr>
        <w:t>Danyluk</w:t>
      </w:r>
      <w:proofErr w:type="spellEnd"/>
      <w:r w:rsidRPr="00F60059">
        <w:rPr>
          <w:rFonts w:cs="Times New Roman"/>
          <w:szCs w:val="24"/>
          <w:lang w:val="fr-CA"/>
        </w:rPr>
        <w:t xml:space="preserve"> expose un point de départ utile pour l’établissement d’un ensemble non exhaustif de facteurs pertinents.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lastRenderedPageBreak/>
        <w:t xml:space="preserve">Il faut généralement considérer la mission du décideur antérieur et celle du tribunal.  </w:t>
      </w:r>
      <w:proofErr w:type="spellStart"/>
      <w:r w:rsidRPr="00F60059">
        <w:rPr>
          <w:rFonts w:cs="Times New Roman"/>
          <w:szCs w:val="24"/>
          <w:lang w:val="fr-CA"/>
        </w:rPr>
        <w:t>Peut</w:t>
      </w:r>
      <w:r w:rsidRPr="00F60059">
        <w:rPr>
          <w:rFonts w:cs="Times New Roman"/>
          <w:szCs w:val="24"/>
          <w:lang w:val="fr-CA"/>
        </w:rPr>
        <w:noBreakHyphen/>
        <w:t>on</w:t>
      </w:r>
      <w:proofErr w:type="spellEnd"/>
      <w:r w:rsidRPr="00F60059">
        <w:rPr>
          <w:rFonts w:cs="Times New Roman"/>
          <w:szCs w:val="24"/>
          <w:lang w:val="fr-CA"/>
        </w:rPr>
        <w:t xml:space="preserve"> discerner une intention du législateur de conférer une compétence exclusive à l’autre décideur ou plutôt l’intention opposée?  Il convient habituellement aussi de prendre en compte les objectifs des deux régimes établis par la loi.  Par exemple, si l’orientation et l’objet de l’instance administrative antérieure différaient complètement de ceux d’une instance devant le Tribunal, il y a </w:t>
      </w:r>
      <w:proofErr w:type="spellStart"/>
      <w:r w:rsidRPr="00F60059">
        <w:rPr>
          <w:rFonts w:cs="Times New Roman"/>
          <w:szCs w:val="24"/>
          <w:lang w:val="fr-CA"/>
        </w:rPr>
        <w:t>peut</w:t>
      </w:r>
      <w:r w:rsidRPr="00F60059">
        <w:rPr>
          <w:rFonts w:cs="Times New Roman"/>
          <w:szCs w:val="24"/>
          <w:lang w:val="fr-CA"/>
        </w:rPr>
        <w:noBreakHyphen/>
        <w:t>être</w:t>
      </w:r>
      <w:proofErr w:type="spellEnd"/>
      <w:r w:rsidRPr="00F60059">
        <w:rPr>
          <w:rFonts w:cs="Times New Roman"/>
          <w:szCs w:val="24"/>
          <w:lang w:val="fr-CA"/>
        </w:rPr>
        <w:t xml:space="preserve"> lieu de se demander s’il convient d’attribuer un caractère concluant au résultat de l’instance antérieure.  L’existence de mécanismes de révision de la décision antérieure constitue aussi un facteur pertinent.  L’omission de se prévaloir des voies de révision appropriées militera généralement contre la remise en cause du fond d’une plainte devant un autre forum.  Comme l’illustre l’arrêt </w:t>
      </w:r>
      <w:proofErr w:type="spellStart"/>
      <w:r w:rsidRPr="00F60059">
        <w:rPr>
          <w:rFonts w:cs="Times New Roman"/>
          <w:i/>
          <w:szCs w:val="24"/>
          <w:lang w:val="fr-CA"/>
        </w:rPr>
        <w:t>Danyluk</w:t>
      </w:r>
      <w:proofErr w:type="spellEnd"/>
      <w:r w:rsidRPr="00F60059">
        <w:rPr>
          <w:rFonts w:cs="Times New Roman"/>
          <w:szCs w:val="24"/>
          <w:lang w:val="fr-CA"/>
        </w:rPr>
        <w:t>, toutefois, il ne s’agit pas toujour</w:t>
      </w:r>
      <w:r w:rsidR="007941DE" w:rsidRPr="00F60059">
        <w:rPr>
          <w:rFonts w:cs="Times New Roman"/>
          <w:szCs w:val="24"/>
          <w:lang w:val="fr-CA"/>
        </w:rPr>
        <w:t>s là d’un facteur déterminant (</w:t>
      </w:r>
      <w:r w:rsidRPr="00F60059">
        <w:rPr>
          <w:rFonts w:cs="Times New Roman"/>
          <w:szCs w:val="24"/>
          <w:lang w:val="fr-CA"/>
        </w:rPr>
        <w:t>par. 74 et 80</w:t>
      </w:r>
      <w:r w:rsidR="007941DE" w:rsidRPr="00F60059">
        <w:rPr>
          <w:rFonts w:cs="Times New Roman"/>
          <w:szCs w:val="24"/>
          <w:lang w:val="fr-CA"/>
        </w:rPr>
        <w:t>)</w:t>
      </w:r>
      <w:r w:rsidR="00B929B4">
        <w:rPr>
          <w:rFonts w:cs="Times New Roman"/>
          <w:szCs w:val="24"/>
          <w:lang w:val="fr-CA"/>
        </w:rPr>
        <w:t>.  Le T</w:t>
      </w:r>
      <w:r w:rsidRPr="00F60059">
        <w:rPr>
          <w:rFonts w:cs="Times New Roman"/>
          <w:szCs w:val="24"/>
          <w:lang w:val="fr-CA"/>
        </w:rPr>
        <w:t xml:space="preserve">ribunal peut également examiner les garanties offertes aux parties dans l’instance administrative antérieure.  Des critères comme la disponibilité d’éléments de preuve et la possibilité pour l’intéressé de faire valoir tous ses moyens devraient être pris en compte.  L’expertise du décideur administratif antérieur est aussi un facteur pertinent.  Comme le juge </w:t>
      </w:r>
      <w:proofErr w:type="spellStart"/>
      <w:r w:rsidRPr="00F60059">
        <w:rPr>
          <w:rFonts w:cs="Times New Roman"/>
          <w:szCs w:val="24"/>
          <w:lang w:val="fr-CA"/>
        </w:rPr>
        <w:t>Binnie</w:t>
      </w:r>
      <w:proofErr w:type="spellEnd"/>
      <w:r w:rsidRPr="00F60059">
        <w:rPr>
          <w:rFonts w:cs="Times New Roman"/>
          <w:szCs w:val="24"/>
          <w:lang w:val="fr-CA"/>
        </w:rPr>
        <w:t xml:space="preserve"> l’a indiqué dans </w:t>
      </w:r>
      <w:proofErr w:type="spellStart"/>
      <w:r w:rsidRPr="00F60059">
        <w:rPr>
          <w:rFonts w:cs="Times New Roman"/>
          <w:i/>
          <w:szCs w:val="24"/>
          <w:lang w:val="fr-CA"/>
        </w:rPr>
        <w:t>Danyluk</w:t>
      </w:r>
      <w:proofErr w:type="spellEnd"/>
      <w:r w:rsidRPr="00F60059">
        <w:rPr>
          <w:rFonts w:cs="Times New Roman"/>
          <w:szCs w:val="24"/>
          <w:lang w:val="fr-CA"/>
        </w:rPr>
        <w:t>, ce facteur intervient depuis longtemps dans l’application de la règle prohibant les contestations indirectes.  Le fait que la décision antérieure « </w:t>
      </w:r>
      <w:r w:rsidRPr="00F60059">
        <w:rPr>
          <w:rFonts w:cs="Times New Roman"/>
          <w:szCs w:val="24"/>
          <w:lang w:val="fr-FR"/>
        </w:rPr>
        <w:t>repose sur des considérations étrangères à l’expertise ou à la raison d’être d’une instance administrative d’appel », bien</w:t>
      </w:r>
      <w:r w:rsidRPr="00F60059">
        <w:rPr>
          <w:rFonts w:cs="Times New Roman"/>
          <w:szCs w:val="24"/>
          <w:lang w:val="fr-CA"/>
        </w:rPr>
        <w:t xml:space="preserve"> qu’il ne soit pas déterminant,</w:t>
      </w:r>
      <w:r w:rsidRPr="00F60059">
        <w:rPr>
          <w:rFonts w:cs="Times New Roman"/>
          <w:szCs w:val="24"/>
          <w:lang w:val="fr-FR"/>
        </w:rPr>
        <w:t xml:space="preserve"> peut indiquer qu’il n’a pas été statué de façon appropriée sur la question :</w:t>
      </w:r>
      <w:r w:rsidRPr="00F60059">
        <w:rPr>
          <w:rFonts w:cs="Times New Roman"/>
          <w:szCs w:val="24"/>
          <w:lang w:val="fr-CA"/>
        </w:rPr>
        <w:t xml:space="preserve"> par. 77, citant </w:t>
      </w:r>
      <w:r w:rsidRPr="00F60059">
        <w:rPr>
          <w:rFonts w:cs="Times New Roman"/>
          <w:i/>
          <w:szCs w:val="24"/>
          <w:lang w:val="fr-CA"/>
        </w:rPr>
        <w:t xml:space="preserve">R. c. </w:t>
      </w:r>
      <w:proofErr w:type="spellStart"/>
      <w:r w:rsidRPr="00F60059">
        <w:rPr>
          <w:rFonts w:cs="Times New Roman"/>
          <w:i/>
          <w:szCs w:val="24"/>
          <w:lang w:val="fr-CA"/>
        </w:rPr>
        <w:t>Consolidated</w:t>
      </w:r>
      <w:proofErr w:type="spellEnd"/>
      <w:r w:rsidRPr="00F60059">
        <w:rPr>
          <w:rFonts w:cs="Times New Roman"/>
          <w:i/>
          <w:szCs w:val="24"/>
          <w:lang w:val="fr-CA"/>
        </w:rPr>
        <w:t xml:space="preserve"> </w:t>
      </w:r>
      <w:proofErr w:type="spellStart"/>
      <w:r w:rsidRPr="00F60059">
        <w:rPr>
          <w:rFonts w:cs="Times New Roman"/>
          <w:i/>
          <w:szCs w:val="24"/>
          <w:lang w:val="fr-CA"/>
        </w:rPr>
        <w:t>Maybrun</w:t>
      </w:r>
      <w:proofErr w:type="spellEnd"/>
      <w:r w:rsidRPr="00F60059">
        <w:rPr>
          <w:rFonts w:cs="Times New Roman"/>
          <w:i/>
          <w:szCs w:val="24"/>
          <w:lang w:val="fr-CA"/>
        </w:rPr>
        <w:t xml:space="preserve"> Mines Ltd.</w:t>
      </w:r>
      <w:r w:rsidRPr="00F60059">
        <w:rPr>
          <w:rFonts w:cs="Times New Roman"/>
          <w:szCs w:val="24"/>
          <w:lang w:val="fr-CA"/>
        </w:rPr>
        <w:t>, [1998] 1 R.C.S. 706, p</w:t>
      </w:r>
      <w:r w:rsidR="00B929B4">
        <w:rPr>
          <w:rFonts w:cs="Times New Roman"/>
          <w:szCs w:val="24"/>
          <w:lang w:val="fr-CA"/>
        </w:rPr>
        <w:t>ar</w:t>
      </w:r>
      <w:r w:rsidRPr="00F60059">
        <w:rPr>
          <w:rFonts w:cs="Times New Roman"/>
          <w:szCs w:val="24"/>
          <w:lang w:val="fr-CA"/>
        </w:rPr>
        <w:t xml:space="preserve">. 50.  Les circonstances ayant mené à l’instance antérieure peuvent aussi constituer un facteur pertinent.  Dans </w:t>
      </w:r>
      <w:proofErr w:type="spellStart"/>
      <w:r w:rsidRPr="00F60059">
        <w:rPr>
          <w:rFonts w:cs="Times New Roman"/>
          <w:i/>
          <w:szCs w:val="24"/>
          <w:lang w:val="fr-CA"/>
        </w:rPr>
        <w:lastRenderedPageBreak/>
        <w:t>Danyluk</w:t>
      </w:r>
      <w:proofErr w:type="spellEnd"/>
      <w:r w:rsidRPr="00F60059">
        <w:rPr>
          <w:rFonts w:cs="Times New Roman"/>
          <w:szCs w:val="24"/>
          <w:lang w:val="fr-CA"/>
        </w:rPr>
        <w:t xml:space="preserve">, par exemple, le fait que l’employée ait entrepris le recours administratif antérieur à un moment qui </w:t>
      </w:r>
      <w:r w:rsidRPr="00F60059">
        <w:rPr>
          <w:rFonts w:cs="Times New Roman"/>
          <w:szCs w:val="24"/>
          <w:lang w:val="fr-FR"/>
        </w:rPr>
        <w:t>faisait d’elle une « personne vulnérable »</w:t>
      </w:r>
      <w:r w:rsidR="007941DE" w:rsidRPr="00F60059">
        <w:rPr>
          <w:rFonts w:cs="Times New Roman"/>
          <w:szCs w:val="24"/>
          <w:lang w:val="fr-CA"/>
        </w:rPr>
        <w:t xml:space="preserve"> a été pris en compte</w:t>
      </w:r>
      <w:r w:rsidRPr="00F60059">
        <w:rPr>
          <w:rFonts w:cs="Times New Roman"/>
          <w:szCs w:val="24"/>
          <w:lang w:val="fr-CA"/>
        </w:rPr>
        <w:t xml:space="preserve"> </w:t>
      </w:r>
      <w:r w:rsidR="007941DE" w:rsidRPr="00F60059">
        <w:rPr>
          <w:rFonts w:cs="Times New Roman"/>
          <w:szCs w:val="24"/>
          <w:lang w:val="fr-CA"/>
        </w:rPr>
        <w:t>(</w:t>
      </w:r>
      <w:r w:rsidRPr="00F60059">
        <w:rPr>
          <w:rFonts w:cs="Times New Roman"/>
          <w:szCs w:val="24"/>
          <w:lang w:val="fr-CA"/>
        </w:rPr>
        <w:t>par. 78</w:t>
      </w:r>
      <w:r w:rsidR="007941DE" w:rsidRPr="00F60059">
        <w:rPr>
          <w:rFonts w:cs="Times New Roman"/>
          <w:szCs w:val="24"/>
          <w:lang w:val="fr-CA"/>
        </w:rPr>
        <w:t>)</w:t>
      </w:r>
      <w:r w:rsidR="00C50B81" w:rsidRPr="00F60059">
        <w:rPr>
          <w:rFonts w:cs="Times New Roman"/>
          <w:szCs w:val="24"/>
          <w:lang w:val="fr-CA"/>
        </w:rPr>
        <w:t xml:space="preserv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Le facteur le plus important, toutefois, est celui que le juge </w:t>
      </w:r>
      <w:proofErr w:type="spellStart"/>
      <w:r w:rsidRPr="00F60059">
        <w:rPr>
          <w:rFonts w:cs="Times New Roman"/>
          <w:szCs w:val="24"/>
          <w:lang w:val="fr-CA"/>
        </w:rPr>
        <w:t>Binnie</w:t>
      </w:r>
      <w:proofErr w:type="spellEnd"/>
      <w:r w:rsidRPr="00F60059">
        <w:rPr>
          <w:rFonts w:cs="Times New Roman"/>
          <w:szCs w:val="24"/>
          <w:lang w:val="fr-CA"/>
        </w:rPr>
        <w:t xml:space="preserve"> mentionne en dernier lieu dans </w:t>
      </w:r>
      <w:proofErr w:type="spellStart"/>
      <w:r w:rsidRPr="00F60059">
        <w:rPr>
          <w:rFonts w:cs="Times New Roman"/>
          <w:i/>
          <w:szCs w:val="24"/>
          <w:lang w:val="fr-CA"/>
        </w:rPr>
        <w:t>Danyluk</w:t>
      </w:r>
      <w:proofErr w:type="spellEnd"/>
      <w:r w:rsidRPr="00F60059">
        <w:rPr>
          <w:rFonts w:cs="Times New Roman"/>
          <w:szCs w:val="24"/>
          <w:lang w:val="fr-CA"/>
        </w:rPr>
        <w:t xml:space="preserve">, au par. 80 : l’injustice pouvant résulter de l’attribution d’une portée définitive et exécutoire à l’instance antérieure.  En cas d’injustice substantielle ou de risque sérieux d’une telle injustice, les choix procéduraux malavisés du plaignant ne devraient généralement pas sonner le glas d’un examen au fond approprié de sa plainte.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La façon dont le Tribunal a abordé l’exercice du pouvoir discrétionnaire prévu à l’al. 27(1)f) est conforme aux facteurs énumérés dans </w:t>
      </w:r>
      <w:proofErr w:type="spellStart"/>
      <w:r w:rsidRPr="00F60059">
        <w:rPr>
          <w:rFonts w:cs="Times New Roman"/>
          <w:i/>
          <w:szCs w:val="24"/>
          <w:lang w:val="fr-CA"/>
        </w:rPr>
        <w:t>Danyluk</w:t>
      </w:r>
      <w:proofErr w:type="spellEnd"/>
      <w:r w:rsidRPr="00F60059">
        <w:rPr>
          <w:rFonts w:cs="Times New Roman"/>
          <w:szCs w:val="24"/>
          <w:lang w:val="fr-CA"/>
        </w:rPr>
        <w:t xml:space="preserve">.  Par exemple, dans </w:t>
      </w:r>
      <w:proofErr w:type="spellStart"/>
      <w:r w:rsidRPr="00F60059">
        <w:rPr>
          <w:rFonts w:cs="Times New Roman"/>
          <w:i/>
          <w:szCs w:val="24"/>
          <w:lang w:val="fr-CA"/>
        </w:rPr>
        <w:t>Ville</w:t>
      </w:r>
      <w:r w:rsidR="00E57400">
        <w:rPr>
          <w:rFonts w:cs="Times New Roman"/>
          <w:i/>
          <w:szCs w:val="24"/>
          <w:lang w:val="fr-CA"/>
        </w:rPr>
        <w:t>l</w:t>
      </w:r>
      <w:r w:rsidRPr="00F60059">
        <w:rPr>
          <w:rFonts w:cs="Times New Roman"/>
          <w:i/>
          <w:szCs w:val="24"/>
          <w:lang w:val="fr-CA"/>
        </w:rPr>
        <w:t>la</w:t>
      </w:r>
      <w:proofErr w:type="spellEnd"/>
      <w:r w:rsidRPr="00F60059">
        <w:rPr>
          <w:rFonts w:cs="Times New Roman"/>
          <w:szCs w:val="24"/>
          <w:lang w:val="fr-CA"/>
        </w:rPr>
        <w:t>, il a examiné un certain nombre de facteurs à prendre en compte.  Il a souligné que la question n’était pas de savoir si, à son avis, la décision antérieure était bien fondée ou si la procédure appliquée était la même que celle devant le Tribunal.  Il a reconnu que selon l’intention législative claire à la base de l’art. 25, le recours devant le Tribunal n’est pas le seul moyen permettant qu’il soit statué de façon appropriée sur une question de droits de la personne.  Il a également indi</w:t>
      </w:r>
      <w:r w:rsidR="009969EB">
        <w:rPr>
          <w:rFonts w:cs="Times New Roman"/>
          <w:szCs w:val="24"/>
          <w:lang w:val="fr-CA"/>
        </w:rPr>
        <w:t>qué, toutefois, que l’al. 27(1)</w:t>
      </w:r>
      <w:r w:rsidRPr="00F60059">
        <w:rPr>
          <w:rFonts w:cs="Times New Roman"/>
          <w:szCs w:val="24"/>
          <w:lang w:val="fr-CA"/>
        </w:rPr>
        <w:t xml:space="preserve">f) l’oblige à examiner le fond de la plainte et non à simplement entériner </w:t>
      </w:r>
      <w:r w:rsidR="007941DE" w:rsidRPr="00F60059">
        <w:rPr>
          <w:rFonts w:cs="Times New Roman"/>
          <w:szCs w:val="24"/>
          <w:lang w:val="fr-CA"/>
        </w:rPr>
        <w:t>[</w:t>
      </w:r>
      <w:r w:rsidR="007941DE" w:rsidRPr="00F60059">
        <w:rPr>
          <w:rFonts w:cs="Times New Roman"/>
          <w:smallCaps/>
          <w:szCs w:val="24"/>
          <w:lang w:val="fr-CA"/>
        </w:rPr>
        <w:t>traduction</w:t>
      </w:r>
      <w:r w:rsidR="007941DE" w:rsidRPr="00F60059">
        <w:rPr>
          <w:rFonts w:cs="Times New Roman"/>
          <w:szCs w:val="24"/>
          <w:lang w:val="fr-CA"/>
        </w:rPr>
        <w:t xml:space="preserve">] </w:t>
      </w:r>
      <w:r w:rsidRPr="00F60059">
        <w:rPr>
          <w:rFonts w:cs="Times New Roman"/>
          <w:szCs w:val="24"/>
          <w:lang w:val="fr-CA"/>
        </w:rPr>
        <w:t xml:space="preserve">« les yeux </w:t>
      </w:r>
      <w:r w:rsidR="007941DE" w:rsidRPr="00F60059">
        <w:rPr>
          <w:rFonts w:cs="Times New Roman"/>
          <w:szCs w:val="24"/>
          <w:lang w:val="fr-CA"/>
        </w:rPr>
        <w:t>fermés » la décision antérieure</w:t>
      </w:r>
      <w:r w:rsidRPr="00F60059">
        <w:rPr>
          <w:rFonts w:cs="Times New Roman"/>
          <w:szCs w:val="24"/>
          <w:lang w:val="fr-CA"/>
        </w:rPr>
        <w:t xml:space="preserve"> </w:t>
      </w:r>
      <w:r w:rsidR="007941DE" w:rsidRPr="00F60059">
        <w:rPr>
          <w:rFonts w:cs="Times New Roman"/>
          <w:szCs w:val="24"/>
          <w:lang w:val="fr-CA"/>
        </w:rPr>
        <w:t>(</w:t>
      </w:r>
      <w:r w:rsidRPr="00F60059">
        <w:rPr>
          <w:rFonts w:cs="Times New Roman"/>
          <w:szCs w:val="24"/>
          <w:lang w:val="fr-CA"/>
        </w:rPr>
        <w:t>par. 19</w:t>
      </w:r>
      <w:r w:rsidR="007941DE" w:rsidRPr="00F60059">
        <w:rPr>
          <w:rFonts w:cs="Times New Roman"/>
          <w:szCs w:val="24"/>
          <w:lang w:val="fr-CA"/>
        </w:rPr>
        <w:t>)</w:t>
      </w:r>
      <w:r w:rsidRPr="00F60059">
        <w:rPr>
          <w:rFonts w:cs="Times New Roman"/>
          <w:szCs w:val="24"/>
          <w:lang w:val="fr-CA"/>
        </w:rPr>
        <w:t xml:space="preserve">.  Il lui faut, en conséquence, tenir compte d’éléments comme les questions soulevées dans l’instance antérieure et les questions de savoir si cette instance s’est </w:t>
      </w:r>
      <w:r w:rsidRPr="00F60059">
        <w:rPr>
          <w:rFonts w:cs="Times New Roman"/>
          <w:szCs w:val="24"/>
          <w:lang w:val="fr-CA"/>
        </w:rPr>
        <w:lastRenderedPageBreak/>
        <w:t>déroulée de façon équitable, si le plaignant était bien représenté, si les principes applicables en matière de droits de la personne ont été examinés, si une réparation appropriée pouvait être accordée et si le choix du forum antérieur relevait du plaignant.  Cette évaluation globale et souple me paraît être exactement la démarche que</w:t>
      </w:r>
      <w:r w:rsidR="009969EB">
        <w:rPr>
          <w:rFonts w:cs="Times New Roman"/>
          <w:szCs w:val="24"/>
          <w:lang w:val="fr-CA"/>
        </w:rPr>
        <w:t xml:space="preserve"> requiert l’al. 27(1)</w:t>
      </w:r>
      <w:r w:rsidRPr="00F60059">
        <w:rPr>
          <w:rFonts w:cs="Times New Roman"/>
          <w:szCs w:val="24"/>
          <w:lang w:val="fr-CA"/>
        </w:rPr>
        <w:t>f).</w:t>
      </w:r>
    </w:p>
    <w:p w:rsidR="00E208A8" w:rsidRPr="00F60059" w:rsidRDefault="00E208A8" w:rsidP="00E208A8">
      <w:pPr>
        <w:pStyle w:val="TitleTitre-AltT"/>
        <w:keepNext/>
        <w:tabs>
          <w:tab w:val="clear" w:pos="360"/>
        </w:tabs>
        <w:spacing w:after="720"/>
        <w:rPr>
          <w:lang w:val="fr-CA"/>
        </w:rPr>
      </w:pPr>
      <w:r w:rsidRPr="00F60059">
        <w:rPr>
          <w:lang w:val="fr-CA"/>
        </w:rPr>
        <w:t>D.</w:t>
      </w:r>
      <w:r w:rsidRPr="00F60059">
        <w:rPr>
          <w:lang w:val="fr-CA"/>
        </w:rPr>
        <w:tab/>
      </w:r>
      <w:r w:rsidRPr="00F60059">
        <w:rPr>
          <w:i/>
          <w:lang w:val="fr-CA"/>
        </w:rPr>
        <w:t>Application</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En dernière analyse, je souscris à la conclusion de la juge Abella qu’en refusant de rejeter la plainte</w:t>
      </w:r>
      <w:r w:rsidR="009969EB">
        <w:rPr>
          <w:rFonts w:cs="Times New Roman"/>
          <w:szCs w:val="24"/>
          <w:lang w:val="fr-CA"/>
        </w:rPr>
        <w:t xml:space="preserve"> en application de l’al.  27(1)</w:t>
      </w:r>
      <w:r w:rsidRPr="00F60059">
        <w:rPr>
          <w:rFonts w:cs="Times New Roman"/>
          <w:szCs w:val="24"/>
          <w:lang w:val="fr-CA"/>
        </w:rPr>
        <w:t>f), le Tribunal a rendu une décision manifestement déraisonnable au sens de l’art. 59 de l’</w:t>
      </w:r>
      <w:r w:rsidRPr="00F60059">
        <w:rPr>
          <w:rFonts w:cs="Times New Roman"/>
          <w:i/>
          <w:szCs w:val="24"/>
          <w:lang w:val="fr-CA"/>
        </w:rPr>
        <w:t>ATA.</w:t>
      </w:r>
      <w:r w:rsidRPr="00F60059">
        <w:rPr>
          <w:rFonts w:cs="Times New Roman"/>
          <w:szCs w:val="24"/>
          <w:lang w:val="fr-CA"/>
        </w:rPr>
        <w:t xml:space="preserve">  Suivant cet article, est manifestement déraisonnable une décision procédant d’un pouvoir discrétionnaire exercé [</w:t>
      </w:r>
      <w:r w:rsidRPr="00F60059">
        <w:rPr>
          <w:rFonts w:cs="Times New Roman"/>
          <w:smallCaps/>
          <w:szCs w:val="24"/>
          <w:lang w:val="fr-CA"/>
        </w:rPr>
        <w:t>traduction</w:t>
      </w:r>
      <w:r w:rsidRPr="00F60059">
        <w:rPr>
          <w:rFonts w:cs="Times New Roman"/>
          <w:szCs w:val="24"/>
          <w:lang w:val="fr-CA"/>
        </w:rPr>
        <w:t>] « entièrement ou principalement sur le fondement de facte</w:t>
      </w:r>
      <w:r w:rsidR="009969EB">
        <w:rPr>
          <w:rFonts w:cs="Times New Roman"/>
          <w:szCs w:val="24"/>
          <w:lang w:val="fr-CA"/>
        </w:rPr>
        <w:t>urs non pertinents » (al. 59(4</w:t>
      </w:r>
      <w:proofErr w:type="gramStart"/>
      <w:r w:rsidR="009969EB">
        <w:rPr>
          <w:rFonts w:cs="Times New Roman"/>
          <w:szCs w:val="24"/>
          <w:lang w:val="fr-CA"/>
        </w:rPr>
        <w:t>)</w:t>
      </w:r>
      <w:r w:rsidRPr="00F60059">
        <w:rPr>
          <w:rFonts w:cs="Times New Roman"/>
          <w:szCs w:val="24"/>
          <w:lang w:val="fr-CA"/>
        </w:rPr>
        <w:t>c</w:t>
      </w:r>
      <w:proofErr w:type="gramEnd"/>
      <w:r w:rsidRPr="00F60059">
        <w:rPr>
          <w:rFonts w:cs="Times New Roman"/>
          <w:szCs w:val="24"/>
          <w:lang w:val="fr-CA"/>
        </w:rPr>
        <w:t xml:space="preserve">)) ou « sans tenir compte d’exigences </w:t>
      </w:r>
      <w:r w:rsidR="009969EB">
        <w:rPr>
          <w:rFonts w:cs="Times New Roman"/>
          <w:szCs w:val="24"/>
          <w:lang w:val="fr-CA"/>
        </w:rPr>
        <w:t>prévues par la loi » (al. 59(4)</w:t>
      </w:r>
      <w:r w:rsidRPr="00F60059">
        <w:rPr>
          <w:rFonts w:cs="Times New Roman"/>
          <w:szCs w:val="24"/>
          <w:lang w:val="fr-CA"/>
        </w:rPr>
        <w:t>d)</w:t>
      </w:r>
      <w:r w:rsidR="00B929B4">
        <w:rPr>
          <w:rFonts w:cs="Times New Roman"/>
          <w:szCs w:val="24"/>
          <w:lang w:val="fr-CA"/>
        </w:rPr>
        <w:t>)</w:t>
      </w:r>
      <w:r w:rsidRPr="00F60059">
        <w:rPr>
          <w:rFonts w:cs="Times New Roman"/>
          <w:szCs w:val="24"/>
          <w:lang w:val="fr-CA"/>
        </w:rPr>
        <w:t xml:space="preserve">.  Or, bien que j’estime que le Tribunal pouvait tenir compte des allégations relatives aux limites procédurales du recours devant l’agent de révision, il a selon moi commis une erreur justifiant l’annulation de sa décision en fondant cette dernière sur le prétendu manque d’indépendance de l’agent de révision et en faisant abstraction de la possibilité de recourir au contrôle judiciaire pour corriger tout vice procédural.  Plus fondamentalement encore, il n’a pas examiné s’il avait été statué sur le « fond » de la plainte, omettant ainsi de prendre en considération une condition imposée par la Loi.  Je suis également d’avis qu’il n’a pas pris en compte l’équité, fondamentale ou autre, de l’instance antérieure.  Tout </w:t>
      </w:r>
      <w:r w:rsidRPr="00F60059">
        <w:rPr>
          <w:rFonts w:cs="Times New Roman"/>
          <w:szCs w:val="24"/>
          <w:lang w:val="fr-CA"/>
        </w:rPr>
        <w:lastRenderedPageBreak/>
        <w:t xml:space="preserve">cela a fait en sorte que le Tribunal n’a accordé aucun poids aux intérêts en jeu en matière de caractère définitif de la décision, et qu’il a largement fondé son analyse, plutôt, sur des facteurs non pertinents rattachés à l’existence des stricts éléments constitutifs de la </w:t>
      </w:r>
      <w:proofErr w:type="spellStart"/>
      <w:r w:rsidRPr="00F60059">
        <w:rPr>
          <w:rFonts w:cs="Times New Roman"/>
          <w:szCs w:val="24"/>
          <w:lang w:val="fr-CA"/>
        </w:rPr>
        <w:t>préclusion</w:t>
      </w:r>
      <w:proofErr w:type="spellEnd"/>
      <w:r w:rsidRPr="00F60059">
        <w:rPr>
          <w:rFonts w:cs="Times New Roman"/>
          <w:szCs w:val="24"/>
          <w:lang w:val="fr-CA"/>
        </w:rPr>
        <w:t xml:space="preserve"> fondée sur une question déjà tranchée. </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t xml:space="preserve">Toutefois, je ne puis souscrire à la solution que propose ma collègue dans ce pourvoi.  Dans ses motifs, la juge Abella se dit d’avis d’accueillir le pourvoi, d’annuler la décision du Tribunal et de rejeter les plaintes.  Selon moi, il y a lieu d’accueillir le pourvoi et, comme le veut à mon avis la règle générale en </w:t>
      </w:r>
      <w:proofErr w:type="spellStart"/>
      <w:r w:rsidRPr="00F60059">
        <w:rPr>
          <w:rFonts w:cs="Times New Roman"/>
          <w:szCs w:val="24"/>
          <w:lang w:val="fr-CA"/>
        </w:rPr>
        <w:t>Colombie</w:t>
      </w:r>
      <w:r w:rsidRPr="00F60059">
        <w:rPr>
          <w:rFonts w:cs="Times New Roman"/>
          <w:szCs w:val="24"/>
          <w:lang w:val="fr-CA"/>
        </w:rPr>
        <w:noBreakHyphen/>
        <w:t>Britannique</w:t>
      </w:r>
      <w:proofErr w:type="spellEnd"/>
      <w:r w:rsidRPr="00F60059">
        <w:rPr>
          <w:rFonts w:cs="Times New Roman"/>
          <w:szCs w:val="24"/>
          <w:lang w:val="fr-CA"/>
        </w:rPr>
        <w:t xml:space="preserve">, de renvoyer au Tribunal, pour qu’il la réexamine, la demande de rejet des plaintes présentée par la </w:t>
      </w:r>
      <w:r w:rsidR="007941DE" w:rsidRPr="00F60059">
        <w:rPr>
          <w:rFonts w:cs="Times New Roman"/>
          <w:szCs w:val="24"/>
          <w:lang w:val="fr-CA"/>
        </w:rPr>
        <w:t xml:space="preserve">Commission </w:t>
      </w:r>
      <w:r w:rsidR="00286FB8">
        <w:rPr>
          <w:rFonts w:cs="Times New Roman"/>
          <w:szCs w:val="24"/>
          <w:lang w:val="fr-CA"/>
        </w:rPr>
        <w:t>aux termes de l’al. 27(1)</w:t>
      </w:r>
      <w:r w:rsidRPr="00F60059">
        <w:rPr>
          <w:rFonts w:cs="Times New Roman"/>
          <w:szCs w:val="24"/>
          <w:lang w:val="fr-CA"/>
        </w:rPr>
        <w:t xml:space="preserve">f).  Comme l’a affirmé la Cour d’appel dans </w:t>
      </w:r>
      <w:proofErr w:type="spellStart"/>
      <w:r w:rsidRPr="00F60059">
        <w:rPr>
          <w:rFonts w:cs="Times New Roman"/>
          <w:i/>
          <w:szCs w:val="24"/>
          <w:lang w:val="fr-CA"/>
        </w:rPr>
        <w:t>Workers</w:t>
      </w:r>
      <w:proofErr w:type="spellEnd"/>
      <w:r w:rsidRPr="00F60059">
        <w:rPr>
          <w:rFonts w:cs="Times New Roman"/>
          <w:i/>
          <w:szCs w:val="24"/>
          <w:lang w:val="fr-CA"/>
        </w:rPr>
        <w:t xml:space="preserve">’ Compensation </w:t>
      </w:r>
      <w:proofErr w:type="spellStart"/>
      <w:r w:rsidRPr="00F60059">
        <w:rPr>
          <w:rFonts w:cs="Times New Roman"/>
          <w:i/>
          <w:szCs w:val="24"/>
          <w:lang w:val="fr-CA"/>
        </w:rPr>
        <w:t>Appeal</w:t>
      </w:r>
      <w:proofErr w:type="spellEnd"/>
      <w:r w:rsidRPr="00F60059">
        <w:rPr>
          <w:rFonts w:cs="Times New Roman"/>
          <w:i/>
          <w:szCs w:val="24"/>
          <w:lang w:val="fr-CA"/>
        </w:rPr>
        <w:t xml:space="preserve"> Tribunal </w:t>
      </w:r>
      <w:r w:rsidR="007941DE" w:rsidRPr="00F60059">
        <w:rPr>
          <w:rFonts w:cs="Times New Roman"/>
          <w:i/>
          <w:szCs w:val="24"/>
          <w:lang w:val="fr-CA"/>
        </w:rPr>
        <w:t xml:space="preserve">(B.C.) </w:t>
      </w:r>
      <w:r w:rsidRPr="00F60059">
        <w:rPr>
          <w:rFonts w:cs="Times New Roman"/>
          <w:i/>
          <w:szCs w:val="24"/>
          <w:lang w:val="fr-CA"/>
        </w:rPr>
        <w:t>c. Hill</w:t>
      </w:r>
      <w:r w:rsidRPr="00F60059">
        <w:rPr>
          <w:rFonts w:cs="Times New Roman"/>
          <w:szCs w:val="24"/>
          <w:lang w:val="fr-CA"/>
        </w:rPr>
        <w:t>, 2011 BCCA 49, 299 B.C.A.C. 129, par. 51, [</w:t>
      </w:r>
      <w:r w:rsidRPr="00F60059">
        <w:rPr>
          <w:rFonts w:cs="Times New Roman"/>
          <w:smallCaps/>
          <w:szCs w:val="24"/>
          <w:lang w:val="fr-CA"/>
        </w:rPr>
        <w:t>traduction</w:t>
      </w:r>
      <w:r w:rsidRPr="00F60059">
        <w:rPr>
          <w:rFonts w:cs="Times New Roman"/>
          <w:szCs w:val="24"/>
          <w:lang w:val="fr-CA"/>
        </w:rPr>
        <w:t xml:space="preserve">] « suivant la règle générale, lorsqu’une partie a gain de cause à l’issue d’un contrôle judiciaire, il convient d’ordonner une nouvelle audition ou un nouvel examen devant le décideur administratif, à moins que des circonstances exceptionnelles justifient la cour de rendre la décision qui, selon la loi, appartient à l’organisme administratif » (voir également </w:t>
      </w:r>
      <w:r w:rsidRPr="00F60059">
        <w:rPr>
          <w:rFonts w:cs="Times New Roman"/>
          <w:i/>
          <w:szCs w:val="24"/>
          <w:lang w:val="fr-CA"/>
        </w:rPr>
        <w:t xml:space="preserve">Allman c. </w:t>
      </w:r>
      <w:proofErr w:type="spellStart"/>
      <w:r w:rsidRPr="00F60059">
        <w:rPr>
          <w:rFonts w:cs="Times New Roman"/>
          <w:i/>
          <w:szCs w:val="24"/>
          <w:lang w:val="fr-CA"/>
        </w:rPr>
        <w:t>Amacon</w:t>
      </w:r>
      <w:proofErr w:type="spellEnd"/>
      <w:r w:rsidRPr="00F60059">
        <w:rPr>
          <w:rFonts w:cs="Times New Roman"/>
          <w:i/>
          <w:szCs w:val="24"/>
          <w:lang w:val="fr-CA"/>
        </w:rPr>
        <w:t xml:space="preserve"> </w:t>
      </w:r>
      <w:proofErr w:type="spellStart"/>
      <w:r w:rsidRPr="00F60059">
        <w:rPr>
          <w:rFonts w:cs="Times New Roman"/>
          <w:i/>
          <w:szCs w:val="24"/>
          <w:lang w:val="fr-CA"/>
        </w:rPr>
        <w:t>Property</w:t>
      </w:r>
      <w:proofErr w:type="spellEnd"/>
      <w:r w:rsidRPr="00F60059">
        <w:rPr>
          <w:rFonts w:cs="Times New Roman"/>
          <w:i/>
          <w:szCs w:val="24"/>
          <w:lang w:val="fr-CA"/>
        </w:rPr>
        <w:t xml:space="preserve"> Management Services Inc.</w:t>
      </w:r>
      <w:r w:rsidRPr="00F60059">
        <w:rPr>
          <w:rFonts w:cs="Times New Roman"/>
          <w:szCs w:val="24"/>
          <w:lang w:val="fr-CA"/>
        </w:rPr>
        <w:t>, 2007 BCCA 302, 243 B.C.A.C. 52).  En l’espèce, aucune circonstance exceptionnelle ne justifie que l’on écarte cette règle générale.</w:t>
      </w:r>
    </w:p>
    <w:p w:rsidR="00E208A8" w:rsidRPr="00F60059" w:rsidRDefault="00E208A8" w:rsidP="00E208A8">
      <w:pPr>
        <w:pStyle w:val="ParaNoNdepar-AltN"/>
        <w:tabs>
          <w:tab w:val="clear" w:pos="1166"/>
          <w:tab w:val="num" w:pos="1152"/>
        </w:tabs>
        <w:rPr>
          <w:rFonts w:cs="Times New Roman"/>
          <w:szCs w:val="24"/>
          <w:lang w:val="fr-CA"/>
        </w:rPr>
      </w:pPr>
      <w:r w:rsidRPr="00F60059">
        <w:rPr>
          <w:rFonts w:cs="Times New Roman"/>
          <w:szCs w:val="24"/>
          <w:lang w:val="fr-CA"/>
        </w:rPr>
        <w:lastRenderedPageBreak/>
        <w:t xml:space="preserve">Je suis donc d’avis d’accueillir le pourvoi sans dépens et de renvoyer au Tribunal, pour qu’il la réexamine, la demande de la </w:t>
      </w:r>
      <w:r w:rsidR="007941DE" w:rsidRPr="00F60059">
        <w:rPr>
          <w:rFonts w:cs="Times New Roman"/>
          <w:szCs w:val="24"/>
          <w:lang w:val="fr-CA"/>
        </w:rPr>
        <w:t xml:space="preserve">Commission </w:t>
      </w:r>
      <w:r w:rsidRPr="00F60059">
        <w:rPr>
          <w:rFonts w:cs="Times New Roman"/>
          <w:szCs w:val="24"/>
          <w:lang w:val="fr-CA"/>
        </w:rPr>
        <w:t>prés</w:t>
      </w:r>
      <w:r w:rsidR="00286FB8">
        <w:rPr>
          <w:rFonts w:cs="Times New Roman"/>
          <w:szCs w:val="24"/>
          <w:lang w:val="fr-CA"/>
        </w:rPr>
        <w:t>entée aux termes de l’al. 27(1)</w:t>
      </w:r>
      <w:r w:rsidRPr="00F60059">
        <w:rPr>
          <w:rFonts w:cs="Times New Roman"/>
          <w:szCs w:val="24"/>
          <w:lang w:val="fr-CA"/>
        </w:rPr>
        <w:t>f).</w:t>
      </w:r>
    </w:p>
    <w:p w:rsidR="0033393C" w:rsidRPr="00F60059" w:rsidRDefault="00A46FD6" w:rsidP="00E14776">
      <w:pPr>
        <w:pStyle w:val="SCCNormalDoubleSpacing"/>
        <w:spacing w:after="480"/>
      </w:pPr>
      <w:r w:rsidRPr="00F60059">
        <w:tab/>
      </w:r>
      <w:r w:rsidRPr="00F60059">
        <w:rPr>
          <w:i/>
        </w:rPr>
        <w:t xml:space="preserve">Pourvoi </w:t>
      </w:r>
      <w:r w:rsidR="00FA7838" w:rsidRPr="00F60059">
        <w:rPr>
          <w:i/>
        </w:rPr>
        <w:t>accueilli</w:t>
      </w:r>
      <w:r w:rsidRPr="00F60059">
        <w:rPr>
          <w:i/>
        </w:rPr>
        <w:t>.</w:t>
      </w:r>
    </w:p>
    <w:p w:rsidR="00A46FD6" w:rsidRPr="00F60059" w:rsidRDefault="00A46FD6" w:rsidP="00E14776">
      <w:pPr>
        <w:pStyle w:val="SCCLawFirm"/>
        <w:spacing w:after="480"/>
      </w:pPr>
      <w:r w:rsidRPr="00F60059">
        <w:tab/>
        <w:t>Procureur de l’appelant</w:t>
      </w:r>
      <w:r w:rsidR="002A18F2" w:rsidRPr="00F60059">
        <w:t>e</w:t>
      </w:r>
      <w:r w:rsidR="001A7570" w:rsidRPr="00F60059">
        <w:t> </w:t>
      </w:r>
      <w:r w:rsidR="00FC0C61" w:rsidRPr="00F60059">
        <w:t>: </w:t>
      </w:r>
      <w:proofErr w:type="spellStart"/>
      <w:r w:rsidRPr="00F60059">
        <w:t>Workers</w:t>
      </w:r>
      <w:proofErr w:type="spellEnd"/>
      <w:r w:rsidRPr="00F60059">
        <w:t xml:space="preserve">’ Compensation </w:t>
      </w:r>
      <w:proofErr w:type="spellStart"/>
      <w:r w:rsidRPr="00F60059">
        <w:t>Board</w:t>
      </w:r>
      <w:proofErr w:type="spellEnd"/>
      <w:r w:rsidRPr="00F60059">
        <w:t>, Richmond.</w:t>
      </w:r>
    </w:p>
    <w:p w:rsidR="00A46FD6" w:rsidRPr="00F60059" w:rsidRDefault="00A46FD6" w:rsidP="00E14776">
      <w:pPr>
        <w:pStyle w:val="SCCLawFirm"/>
        <w:spacing w:after="480"/>
        <w:rPr>
          <w:lang w:val="en-CA"/>
        </w:rPr>
      </w:pPr>
      <w:r w:rsidRPr="00F60059">
        <w:tab/>
      </w:r>
      <w:proofErr w:type="spellStart"/>
      <w:r w:rsidRPr="00F60059">
        <w:rPr>
          <w:lang w:val="en-CA"/>
        </w:rPr>
        <w:t>Procureur</w:t>
      </w:r>
      <w:proofErr w:type="spellEnd"/>
      <w:r w:rsidRPr="00F60059">
        <w:rPr>
          <w:lang w:val="en-CA"/>
        </w:rPr>
        <w:t xml:space="preserve"> des </w:t>
      </w:r>
      <w:proofErr w:type="spellStart"/>
      <w:r w:rsidRPr="00F60059">
        <w:rPr>
          <w:lang w:val="en-CA"/>
        </w:rPr>
        <w:t>intimés</w:t>
      </w:r>
      <w:proofErr w:type="spellEnd"/>
      <w:r w:rsidRPr="00F60059">
        <w:rPr>
          <w:lang w:val="en-CA"/>
        </w:rPr>
        <w:t xml:space="preserve"> </w:t>
      </w:r>
      <w:proofErr w:type="spellStart"/>
      <w:r w:rsidRPr="00F60059">
        <w:rPr>
          <w:lang w:val="en-CA"/>
        </w:rPr>
        <w:t>Guiseppe</w:t>
      </w:r>
      <w:proofErr w:type="spellEnd"/>
      <w:r w:rsidRPr="00F60059">
        <w:rPr>
          <w:lang w:val="en-CA"/>
        </w:rPr>
        <w:t xml:space="preserve"> </w:t>
      </w:r>
      <w:proofErr w:type="spellStart"/>
      <w:r w:rsidRPr="00F60059">
        <w:rPr>
          <w:lang w:val="en-CA"/>
        </w:rPr>
        <w:t>Figliola</w:t>
      </w:r>
      <w:proofErr w:type="spellEnd"/>
      <w:r w:rsidRPr="00F60059">
        <w:rPr>
          <w:lang w:val="en-CA"/>
        </w:rPr>
        <w:t xml:space="preserve">, Kimberley </w:t>
      </w:r>
      <w:proofErr w:type="spellStart"/>
      <w:r w:rsidRPr="00F60059">
        <w:rPr>
          <w:lang w:val="en-CA"/>
        </w:rPr>
        <w:t>Sallis</w:t>
      </w:r>
      <w:proofErr w:type="spellEnd"/>
      <w:r w:rsidRPr="00F60059">
        <w:rPr>
          <w:lang w:val="en-CA"/>
        </w:rPr>
        <w:t xml:space="preserve"> et Barry </w:t>
      </w:r>
      <w:proofErr w:type="spellStart"/>
      <w:proofErr w:type="gramStart"/>
      <w:r w:rsidRPr="00F60059">
        <w:rPr>
          <w:lang w:val="en-CA"/>
        </w:rPr>
        <w:t>Dearden</w:t>
      </w:r>
      <w:proofErr w:type="spellEnd"/>
      <w:r w:rsidR="001A7570" w:rsidRPr="00F60059">
        <w:rPr>
          <w:lang w:val="en-CA"/>
        </w:rPr>
        <w:t> </w:t>
      </w:r>
      <w:r w:rsidR="00FC0C61" w:rsidRPr="00F60059">
        <w:rPr>
          <w:lang w:val="en-CA"/>
        </w:rPr>
        <w:t>:</w:t>
      </w:r>
      <w:proofErr w:type="gramEnd"/>
      <w:r w:rsidR="00FC0C61" w:rsidRPr="00F60059">
        <w:rPr>
          <w:lang w:val="en-CA"/>
        </w:rPr>
        <w:t> </w:t>
      </w:r>
      <w:r w:rsidRPr="00F60059">
        <w:rPr>
          <w:lang w:val="en-CA"/>
        </w:rPr>
        <w:t>Community Legal Assistance Society, Vancouver.</w:t>
      </w:r>
    </w:p>
    <w:p w:rsidR="00A46FD6" w:rsidRPr="00F60059" w:rsidRDefault="00A46FD6" w:rsidP="00E14776">
      <w:pPr>
        <w:pStyle w:val="SCCLawFirm"/>
        <w:spacing w:after="480"/>
        <w:rPr>
          <w:lang w:val="en-CA"/>
        </w:rPr>
      </w:pPr>
      <w:r w:rsidRPr="00F60059">
        <w:rPr>
          <w:lang w:val="en-CA"/>
        </w:rPr>
        <w:tab/>
      </w:r>
      <w:proofErr w:type="spellStart"/>
      <w:r w:rsidRPr="00F60059">
        <w:rPr>
          <w:lang w:val="en-CA"/>
        </w:rPr>
        <w:t>Procureur</w:t>
      </w:r>
      <w:proofErr w:type="spellEnd"/>
      <w:r w:rsidRPr="00F60059">
        <w:rPr>
          <w:lang w:val="en-CA"/>
        </w:rPr>
        <w:t xml:space="preserve"> de </w:t>
      </w:r>
      <w:proofErr w:type="spellStart"/>
      <w:r w:rsidRPr="00F60059">
        <w:rPr>
          <w:lang w:val="en-CA"/>
        </w:rPr>
        <w:t>l’intimé</w:t>
      </w:r>
      <w:proofErr w:type="spellEnd"/>
      <w:r w:rsidRPr="00F60059">
        <w:rPr>
          <w:lang w:val="en-CA"/>
        </w:rPr>
        <w:t xml:space="preserve"> British Columbia Human Rights </w:t>
      </w:r>
      <w:proofErr w:type="gramStart"/>
      <w:r w:rsidRPr="00F60059">
        <w:rPr>
          <w:lang w:val="en-CA"/>
        </w:rPr>
        <w:t>Tribunal</w:t>
      </w:r>
      <w:r w:rsidR="001A7570" w:rsidRPr="00F60059">
        <w:rPr>
          <w:lang w:val="en-CA"/>
        </w:rPr>
        <w:t> </w:t>
      </w:r>
      <w:r w:rsidR="00FC0C61" w:rsidRPr="00F60059">
        <w:rPr>
          <w:lang w:val="en-CA"/>
        </w:rPr>
        <w:t>:</w:t>
      </w:r>
      <w:proofErr w:type="gramEnd"/>
      <w:r w:rsidR="00FC0C61" w:rsidRPr="00F60059">
        <w:rPr>
          <w:lang w:val="en-CA"/>
        </w:rPr>
        <w:t> </w:t>
      </w:r>
      <w:r w:rsidRPr="00F60059">
        <w:rPr>
          <w:lang w:val="en-CA"/>
        </w:rPr>
        <w:t>British Columbia Human Rights Tribunal, Vancouver.</w:t>
      </w:r>
    </w:p>
    <w:p w:rsidR="00A46FD6" w:rsidRPr="00F60059" w:rsidRDefault="00A46FD6" w:rsidP="00E14776">
      <w:pPr>
        <w:pStyle w:val="SCCLawFirm"/>
        <w:spacing w:after="480"/>
      </w:pPr>
      <w:r w:rsidRPr="00F60059">
        <w:rPr>
          <w:lang w:val="en-CA"/>
        </w:rPr>
        <w:tab/>
      </w:r>
      <w:r w:rsidRPr="00F60059">
        <w:t xml:space="preserve">Procureur de l’intervenant le procureur général de la </w:t>
      </w:r>
      <w:proofErr w:type="spellStart"/>
      <w:r w:rsidRPr="00F60059">
        <w:t>Colombie</w:t>
      </w:r>
      <w:r w:rsidR="001A7570" w:rsidRPr="00F60059">
        <w:noBreakHyphen/>
      </w:r>
      <w:r w:rsidRPr="00F60059">
        <w:t>Britannique</w:t>
      </w:r>
      <w:proofErr w:type="spellEnd"/>
      <w:r w:rsidR="001A7570" w:rsidRPr="00F60059">
        <w:t> </w:t>
      </w:r>
      <w:r w:rsidR="00FC0C61" w:rsidRPr="00F60059">
        <w:t>: </w:t>
      </w:r>
      <w:r w:rsidRPr="00F60059">
        <w:t xml:space="preserve">Procureur général de la </w:t>
      </w:r>
      <w:proofErr w:type="spellStart"/>
      <w:r w:rsidRPr="00F60059">
        <w:t>Colombie</w:t>
      </w:r>
      <w:r w:rsidR="001A7570" w:rsidRPr="00F60059">
        <w:noBreakHyphen/>
      </w:r>
      <w:r w:rsidRPr="00F60059">
        <w:t>Britannique</w:t>
      </w:r>
      <w:proofErr w:type="spellEnd"/>
      <w:r w:rsidRPr="00F60059">
        <w:t>, Victoria.</w:t>
      </w:r>
    </w:p>
    <w:p w:rsidR="00A46FD6" w:rsidRPr="00F60059" w:rsidRDefault="00A46FD6" w:rsidP="00E14776">
      <w:pPr>
        <w:pStyle w:val="SCCLawFirm"/>
        <w:spacing w:after="480"/>
      </w:pPr>
      <w:r w:rsidRPr="00F60059">
        <w:tab/>
        <w:t>Procureurs de l’intervenante Coalition of BC Businesses</w:t>
      </w:r>
      <w:r w:rsidR="001A7570" w:rsidRPr="00F60059">
        <w:t> </w:t>
      </w:r>
      <w:r w:rsidR="00FC0C61" w:rsidRPr="00F60059">
        <w:t>: </w:t>
      </w:r>
      <w:proofErr w:type="spellStart"/>
      <w:r w:rsidRPr="00F60059">
        <w:t>Heenan</w:t>
      </w:r>
      <w:proofErr w:type="spellEnd"/>
      <w:r w:rsidRPr="00F60059">
        <w:t xml:space="preserve"> </w:t>
      </w:r>
      <w:proofErr w:type="spellStart"/>
      <w:r w:rsidRPr="00F60059">
        <w:t>Blaikie</w:t>
      </w:r>
      <w:proofErr w:type="spellEnd"/>
      <w:r w:rsidRPr="00F60059">
        <w:t>, Vancouver.</w:t>
      </w:r>
    </w:p>
    <w:p w:rsidR="00A46FD6" w:rsidRPr="00F60059" w:rsidRDefault="00A46FD6" w:rsidP="00E14776">
      <w:pPr>
        <w:pStyle w:val="SCCLawFirm"/>
        <w:spacing w:after="480"/>
      </w:pPr>
      <w:r w:rsidRPr="00F60059">
        <w:tab/>
        <w:t>Procureur de l’intervenante la Commission canadienne des droits de la personne</w:t>
      </w:r>
      <w:r w:rsidR="001A7570" w:rsidRPr="00F60059">
        <w:t> </w:t>
      </w:r>
      <w:r w:rsidR="00FC0C61" w:rsidRPr="00F60059">
        <w:t>: </w:t>
      </w:r>
      <w:r w:rsidRPr="00F60059">
        <w:t>Commission canadienne des droits de la personne, Ottawa.</w:t>
      </w:r>
    </w:p>
    <w:p w:rsidR="00A46FD6" w:rsidRPr="00F60059" w:rsidRDefault="00A46FD6" w:rsidP="00E14776">
      <w:pPr>
        <w:pStyle w:val="SCCLawFirm"/>
        <w:spacing w:after="480"/>
      </w:pPr>
      <w:r w:rsidRPr="00F60059">
        <w:lastRenderedPageBreak/>
        <w:tab/>
        <w:t xml:space="preserve">Procureur de l’intervenante Alberta </w:t>
      </w:r>
      <w:proofErr w:type="spellStart"/>
      <w:r w:rsidRPr="00F60059">
        <w:t>Human</w:t>
      </w:r>
      <w:proofErr w:type="spellEnd"/>
      <w:r w:rsidRPr="00F60059">
        <w:t xml:space="preserve"> </w:t>
      </w:r>
      <w:proofErr w:type="spellStart"/>
      <w:r w:rsidRPr="00F60059">
        <w:t>Rights</w:t>
      </w:r>
      <w:proofErr w:type="spellEnd"/>
      <w:r w:rsidRPr="00F60059">
        <w:t xml:space="preserve"> Commission</w:t>
      </w:r>
      <w:r w:rsidR="001A7570" w:rsidRPr="00F60059">
        <w:t> </w:t>
      </w:r>
      <w:r w:rsidR="00FC0C61" w:rsidRPr="00F60059">
        <w:t>: </w:t>
      </w:r>
      <w:r w:rsidRPr="00F60059">
        <w:t xml:space="preserve">Alberta </w:t>
      </w:r>
      <w:proofErr w:type="spellStart"/>
      <w:r w:rsidRPr="00F60059">
        <w:t>Human</w:t>
      </w:r>
      <w:proofErr w:type="spellEnd"/>
      <w:r w:rsidRPr="00F60059">
        <w:t xml:space="preserve"> </w:t>
      </w:r>
      <w:proofErr w:type="spellStart"/>
      <w:r w:rsidRPr="00F60059">
        <w:t>Rights</w:t>
      </w:r>
      <w:proofErr w:type="spellEnd"/>
      <w:r w:rsidRPr="00F60059">
        <w:t xml:space="preserve"> Commission, Calgary.</w:t>
      </w:r>
    </w:p>
    <w:p w:rsidR="0043088E" w:rsidRPr="00F60059" w:rsidRDefault="00A46FD6" w:rsidP="00E208A8">
      <w:pPr>
        <w:pStyle w:val="SCCLawFirm"/>
      </w:pPr>
      <w:r w:rsidRPr="00F60059">
        <w:tab/>
        <w:t xml:space="preserve">Procureurs de l’intervenante Vancouver Area </w:t>
      </w:r>
      <w:proofErr w:type="spellStart"/>
      <w:r w:rsidRPr="00F60059">
        <w:t>Human</w:t>
      </w:r>
      <w:proofErr w:type="spellEnd"/>
      <w:r w:rsidRPr="00F60059">
        <w:t xml:space="preserve"> </w:t>
      </w:r>
      <w:proofErr w:type="spellStart"/>
      <w:r w:rsidRPr="00F60059">
        <w:t>Rights</w:t>
      </w:r>
      <w:proofErr w:type="spellEnd"/>
      <w:r w:rsidRPr="00F60059">
        <w:t xml:space="preserve"> Coalition Society</w:t>
      </w:r>
      <w:r w:rsidR="001A7570" w:rsidRPr="00F60059">
        <w:t> </w:t>
      </w:r>
      <w:r w:rsidR="00FC0C61" w:rsidRPr="00F60059">
        <w:t>: </w:t>
      </w:r>
      <w:r w:rsidRPr="00F60059">
        <w:t xml:space="preserve">Bull, Housser &amp; </w:t>
      </w:r>
      <w:proofErr w:type="spellStart"/>
      <w:r w:rsidRPr="00F60059">
        <w:t>Tupper</w:t>
      </w:r>
      <w:proofErr w:type="spellEnd"/>
      <w:r w:rsidRPr="00F60059">
        <w:t>, Vancouver.</w:t>
      </w:r>
      <w:r w:rsidR="00E208A8" w:rsidRPr="00F60059">
        <w:t xml:space="preserve"> </w:t>
      </w:r>
    </w:p>
    <w:sectPr w:rsidR="0043088E" w:rsidRPr="00F60059" w:rsidSect="00312617">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14" w:rsidRDefault="00A72B14">
      <w:r>
        <w:separator/>
      </w:r>
    </w:p>
  </w:endnote>
  <w:endnote w:type="continuationSeparator" w:id="0">
    <w:p w:rsidR="00A72B14" w:rsidRDefault="00A72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14" w:rsidRDefault="00A72B1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14" w:rsidRDefault="00A72B1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14" w:rsidRDefault="00A72B14">
      <w:r>
        <w:separator/>
      </w:r>
    </w:p>
  </w:footnote>
  <w:footnote w:type="continuationSeparator" w:id="0">
    <w:p w:rsidR="00A72B14" w:rsidRDefault="00A72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14" w:rsidRDefault="00A72B1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2270"/>
      <w:docPartObj>
        <w:docPartGallery w:val="Page Numbers (Top of Page)"/>
        <w:docPartUnique/>
      </w:docPartObj>
    </w:sdtPr>
    <w:sdtContent>
      <w:p w:rsidR="00A72B14" w:rsidRDefault="00A72B14">
        <w:pPr>
          <w:pStyle w:val="Header"/>
          <w:jc w:val="center"/>
        </w:pPr>
        <w:r>
          <w:t xml:space="preserve">- </w:t>
        </w:r>
        <w:fldSimple w:instr=" PAGE   \* MERGEFORMAT ">
          <w:r w:rsidR="002B54B9">
            <w:rPr>
              <w:noProof/>
            </w:rPr>
            <w:t>2</w:t>
          </w:r>
        </w:fldSimple>
        <w:r>
          <w:t xml:space="preserve"> -</w:t>
        </w:r>
      </w:p>
    </w:sdtContent>
  </w:sdt>
  <w:p w:rsidR="00A72B14" w:rsidRDefault="00A72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9901A20"/>
    <w:multiLevelType w:val="hybridMultilevel"/>
    <w:tmpl w:val="E50473EC"/>
    <w:lvl w:ilvl="0" w:tplc="AC26CA62">
      <w:start w:val="2003"/>
      <w:numFmt w:val="bullet"/>
      <w:lvlText w:val=""/>
      <w:lvlJc w:val="left"/>
      <w:pPr>
        <w:ind w:left="1488"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A427F7"/>
    <w:multiLevelType w:val="multilevel"/>
    <w:tmpl w:val="D8BC5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AD6B75"/>
    <w:multiLevelType w:val="hybridMultilevel"/>
    <w:tmpl w:val="6AF80332"/>
    <w:lvl w:ilvl="0" w:tplc="61C8A696">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11F76B85"/>
    <w:multiLevelType w:val="hybridMultilevel"/>
    <w:tmpl w:val="06CE4714"/>
    <w:lvl w:ilvl="0" w:tplc="29A03C4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7E7363D"/>
    <w:multiLevelType w:val="multilevel"/>
    <w:tmpl w:val="FC0C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1021E5"/>
    <w:multiLevelType w:val="hybridMultilevel"/>
    <w:tmpl w:val="68921596"/>
    <w:lvl w:ilvl="0" w:tplc="0164D906">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AF31A9"/>
    <w:multiLevelType w:val="hybridMultilevel"/>
    <w:tmpl w:val="9F5C0154"/>
    <w:lvl w:ilvl="0" w:tplc="AFA8755E">
      <w:start w:val="1"/>
      <w:numFmt w:val="decimal"/>
      <w:lvlText w:val="%1."/>
      <w:lvlJc w:val="left"/>
      <w:pPr>
        <w:ind w:left="720" w:hanging="360"/>
      </w:pPr>
    </w:lvl>
    <w:lvl w:ilvl="1" w:tplc="24923B8A">
      <w:start w:val="1"/>
      <w:numFmt w:val="lowerLetter"/>
      <w:lvlText w:val="%2."/>
      <w:lvlJc w:val="left"/>
      <w:pPr>
        <w:ind w:left="1440" w:hanging="360"/>
      </w:pPr>
    </w:lvl>
    <w:lvl w:ilvl="2" w:tplc="A358DC16">
      <w:start w:val="1"/>
      <w:numFmt w:val="lowerRoman"/>
      <w:lvlText w:val="%3."/>
      <w:lvlJc w:val="right"/>
      <w:pPr>
        <w:ind w:left="2160" w:hanging="180"/>
      </w:pPr>
    </w:lvl>
    <w:lvl w:ilvl="3" w:tplc="FB30F17C">
      <w:start w:val="1"/>
      <w:numFmt w:val="decimal"/>
      <w:lvlText w:val="%4."/>
      <w:lvlJc w:val="left"/>
      <w:pPr>
        <w:ind w:left="2880" w:hanging="360"/>
      </w:pPr>
    </w:lvl>
    <w:lvl w:ilvl="4" w:tplc="E5709922">
      <w:start w:val="1"/>
      <w:numFmt w:val="lowerLetter"/>
      <w:lvlText w:val="%5."/>
      <w:lvlJc w:val="left"/>
      <w:pPr>
        <w:ind w:left="3600" w:hanging="360"/>
      </w:pPr>
    </w:lvl>
    <w:lvl w:ilvl="5" w:tplc="4C6675CA">
      <w:start w:val="1"/>
      <w:numFmt w:val="lowerRoman"/>
      <w:lvlText w:val="%6."/>
      <w:lvlJc w:val="right"/>
      <w:pPr>
        <w:ind w:left="4320" w:hanging="180"/>
      </w:pPr>
    </w:lvl>
    <w:lvl w:ilvl="6" w:tplc="4B6A9FC4">
      <w:start w:val="1"/>
      <w:numFmt w:val="decimal"/>
      <w:lvlText w:val="%7."/>
      <w:lvlJc w:val="left"/>
      <w:pPr>
        <w:ind w:left="5040" w:hanging="360"/>
      </w:pPr>
    </w:lvl>
    <w:lvl w:ilvl="7" w:tplc="9286ABE2">
      <w:start w:val="1"/>
      <w:numFmt w:val="lowerLetter"/>
      <w:lvlText w:val="%8."/>
      <w:lvlJc w:val="left"/>
      <w:pPr>
        <w:ind w:left="5760" w:hanging="360"/>
      </w:pPr>
    </w:lvl>
    <w:lvl w:ilvl="8" w:tplc="6F86EB30">
      <w:start w:val="1"/>
      <w:numFmt w:val="lowerRoman"/>
      <w:lvlText w:val="%9."/>
      <w:lvlJc w:val="right"/>
      <w:pPr>
        <w:ind w:left="6480" w:hanging="180"/>
      </w:pPr>
    </w:lvl>
  </w:abstractNum>
  <w:abstractNum w:abstractNumId="18">
    <w:nsid w:val="20592876"/>
    <w:multiLevelType w:val="hybridMultilevel"/>
    <w:tmpl w:val="A6488120"/>
    <w:lvl w:ilvl="0" w:tplc="04090001">
      <w:start w:val="1"/>
      <w:numFmt w:val="bullet"/>
      <w:lvlText w:val=""/>
      <w:lvlJc w:val="left"/>
      <w:pPr>
        <w:ind w:left="1886" w:hanging="360"/>
      </w:pPr>
      <w:rPr>
        <w:rFonts w:ascii="Symbol" w:hAnsi="Symbol" w:cs="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cs="Wingdings" w:hint="default"/>
      </w:rPr>
    </w:lvl>
    <w:lvl w:ilvl="3" w:tplc="04090001">
      <w:start w:val="1"/>
      <w:numFmt w:val="bullet"/>
      <w:lvlText w:val=""/>
      <w:lvlJc w:val="left"/>
      <w:pPr>
        <w:ind w:left="4046" w:hanging="360"/>
      </w:pPr>
      <w:rPr>
        <w:rFonts w:ascii="Symbol" w:hAnsi="Symbol" w:cs="Symbol" w:hint="default"/>
      </w:rPr>
    </w:lvl>
    <w:lvl w:ilvl="4" w:tplc="04090003">
      <w:start w:val="1"/>
      <w:numFmt w:val="bullet"/>
      <w:lvlText w:val="o"/>
      <w:lvlJc w:val="left"/>
      <w:pPr>
        <w:ind w:left="4766" w:hanging="360"/>
      </w:pPr>
      <w:rPr>
        <w:rFonts w:ascii="Courier New" w:hAnsi="Courier New" w:cs="Courier New" w:hint="default"/>
      </w:rPr>
    </w:lvl>
    <w:lvl w:ilvl="5" w:tplc="04090005">
      <w:start w:val="1"/>
      <w:numFmt w:val="bullet"/>
      <w:lvlText w:val=""/>
      <w:lvlJc w:val="left"/>
      <w:pPr>
        <w:ind w:left="5486" w:hanging="360"/>
      </w:pPr>
      <w:rPr>
        <w:rFonts w:ascii="Wingdings" w:hAnsi="Wingdings" w:cs="Wingdings" w:hint="default"/>
      </w:rPr>
    </w:lvl>
    <w:lvl w:ilvl="6" w:tplc="04090001">
      <w:start w:val="1"/>
      <w:numFmt w:val="bullet"/>
      <w:lvlText w:val=""/>
      <w:lvlJc w:val="left"/>
      <w:pPr>
        <w:ind w:left="6206" w:hanging="360"/>
      </w:pPr>
      <w:rPr>
        <w:rFonts w:ascii="Symbol" w:hAnsi="Symbol" w:cs="Symbol" w:hint="default"/>
      </w:rPr>
    </w:lvl>
    <w:lvl w:ilvl="7" w:tplc="04090003">
      <w:start w:val="1"/>
      <w:numFmt w:val="bullet"/>
      <w:lvlText w:val="o"/>
      <w:lvlJc w:val="left"/>
      <w:pPr>
        <w:ind w:left="6926" w:hanging="360"/>
      </w:pPr>
      <w:rPr>
        <w:rFonts w:ascii="Courier New" w:hAnsi="Courier New" w:cs="Courier New" w:hint="default"/>
      </w:rPr>
    </w:lvl>
    <w:lvl w:ilvl="8" w:tplc="04090005">
      <w:start w:val="1"/>
      <w:numFmt w:val="bullet"/>
      <w:lvlText w:val=""/>
      <w:lvlJc w:val="left"/>
      <w:pPr>
        <w:ind w:left="7646" w:hanging="360"/>
      </w:pPr>
      <w:rPr>
        <w:rFonts w:ascii="Wingdings" w:hAnsi="Wingdings" w:cs="Wingdings" w:hint="default"/>
      </w:rPr>
    </w:lvl>
  </w:abstractNum>
  <w:abstractNum w:abstractNumId="19">
    <w:nsid w:val="33D522F8"/>
    <w:multiLevelType w:val="hybridMultilevel"/>
    <w:tmpl w:val="BD005238"/>
    <w:lvl w:ilvl="0" w:tplc="04090001">
      <w:start w:val="1"/>
      <w:numFmt w:val="bullet"/>
      <w:lvlText w:val=""/>
      <w:lvlJc w:val="left"/>
      <w:pPr>
        <w:ind w:left="1886" w:hanging="360"/>
      </w:pPr>
      <w:rPr>
        <w:rFonts w:ascii="Symbol" w:hAnsi="Symbol" w:cs="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cs="Wingdings" w:hint="default"/>
      </w:rPr>
    </w:lvl>
    <w:lvl w:ilvl="3" w:tplc="04090001">
      <w:start w:val="1"/>
      <w:numFmt w:val="bullet"/>
      <w:lvlText w:val=""/>
      <w:lvlJc w:val="left"/>
      <w:pPr>
        <w:ind w:left="4046" w:hanging="360"/>
      </w:pPr>
      <w:rPr>
        <w:rFonts w:ascii="Symbol" w:hAnsi="Symbol" w:cs="Symbol" w:hint="default"/>
      </w:rPr>
    </w:lvl>
    <w:lvl w:ilvl="4" w:tplc="04090003">
      <w:start w:val="1"/>
      <w:numFmt w:val="bullet"/>
      <w:lvlText w:val="o"/>
      <w:lvlJc w:val="left"/>
      <w:pPr>
        <w:ind w:left="4766" w:hanging="360"/>
      </w:pPr>
      <w:rPr>
        <w:rFonts w:ascii="Courier New" w:hAnsi="Courier New" w:cs="Courier New" w:hint="default"/>
      </w:rPr>
    </w:lvl>
    <w:lvl w:ilvl="5" w:tplc="04090005">
      <w:start w:val="1"/>
      <w:numFmt w:val="bullet"/>
      <w:lvlText w:val=""/>
      <w:lvlJc w:val="left"/>
      <w:pPr>
        <w:ind w:left="5486" w:hanging="360"/>
      </w:pPr>
      <w:rPr>
        <w:rFonts w:ascii="Wingdings" w:hAnsi="Wingdings" w:cs="Wingdings" w:hint="default"/>
      </w:rPr>
    </w:lvl>
    <w:lvl w:ilvl="6" w:tplc="04090001">
      <w:start w:val="1"/>
      <w:numFmt w:val="bullet"/>
      <w:lvlText w:val=""/>
      <w:lvlJc w:val="left"/>
      <w:pPr>
        <w:ind w:left="6206" w:hanging="360"/>
      </w:pPr>
      <w:rPr>
        <w:rFonts w:ascii="Symbol" w:hAnsi="Symbol" w:cs="Symbol" w:hint="default"/>
      </w:rPr>
    </w:lvl>
    <w:lvl w:ilvl="7" w:tplc="04090003">
      <w:start w:val="1"/>
      <w:numFmt w:val="bullet"/>
      <w:lvlText w:val="o"/>
      <w:lvlJc w:val="left"/>
      <w:pPr>
        <w:ind w:left="6926" w:hanging="360"/>
      </w:pPr>
      <w:rPr>
        <w:rFonts w:ascii="Courier New" w:hAnsi="Courier New" w:cs="Courier New" w:hint="default"/>
      </w:rPr>
    </w:lvl>
    <w:lvl w:ilvl="8" w:tplc="04090005">
      <w:start w:val="1"/>
      <w:numFmt w:val="bullet"/>
      <w:lvlText w:val=""/>
      <w:lvlJc w:val="left"/>
      <w:pPr>
        <w:ind w:left="7646" w:hanging="360"/>
      </w:pPr>
      <w:rPr>
        <w:rFonts w:ascii="Wingdings" w:hAnsi="Wingdings" w:cs="Wingdings" w:hint="default"/>
      </w:rPr>
    </w:lvl>
  </w:abstractNum>
  <w:abstractNum w:abstractNumId="20">
    <w:nsid w:val="34AC781E"/>
    <w:multiLevelType w:val="multilevel"/>
    <w:tmpl w:val="C8A61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64307A"/>
    <w:multiLevelType w:val="hybridMultilevel"/>
    <w:tmpl w:val="ACB40856"/>
    <w:lvl w:ilvl="0" w:tplc="AC26CA62">
      <w:start w:val="2003"/>
      <w:numFmt w:val="bullet"/>
      <w:lvlText w:val=""/>
      <w:lvlJc w:val="left"/>
      <w:pPr>
        <w:ind w:left="408" w:hanging="360"/>
      </w:pPr>
      <w:rPr>
        <w:rFonts w:ascii="Symbol" w:eastAsia="Times New Roman"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cs="Wingdings" w:hint="default"/>
      </w:rPr>
    </w:lvl>
    <w:lvl w:ilvl="3" w:tplc="04090001">
      <w:start w:val="1"/>
      <w:numFmt w:val="bullet"/>
      <w:lvlText w:val=""/>
      <w:lvlJc w:val="left"/>
      <w:pPr>
        <w:ind w:left="2568" w:hanging="360"/>
      </w:pPr>
      <w:rPr>
        <w:rFonts w:ascii="Symbol" w:hAnsi="Symbol" w:cs="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cs="Wingdings" w:hint="default"/>
      </w:rPr>
    </w:lvl>
    <w:lvl w:ilvl="6" w:tplc="04090001">
      <w:start w:val="1"/>
      <w:numFmt w:val="bullet"/>
      <w:lvlText w:val=""/>
      <w:lvlJc w:val="left"/>
      <w:pPr>
        <w:ind w:left="4728" w:hanging="360"/>
      </w:pPr>
      <w:rPr>
        <w:rFonts w:ascii="Symbol" w:hAnsi="Symbol" w:cs="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cs="Wingdings" w:hint="default"/>
      </w:rPr>
    </w:lvl>
  </w:abstractNum>
  <w:abstractNum w:abstractNumId="22">
    <w:nsid w:val="407F0A66"/>
    <w:multiLevelType w:val="multilevel"/>
    <w:tmpl w:val="4A38A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E2737C"/>
    <w:multiLevelType w:val="hybridMultilevel"/>
    <w:tmpl w:val="9D9AB3CA"/>
    <w:lvl w:ilvl="0" w:tplc="04090001">
      <w:start w:val="1"/>
      <w:numFmt w:val="bullet"/>
      <w:lvlText w:val=""/>
      <w:lvlJc w:val="left"/>
      <w:pPr>
        <w:ind w:left="1886" w:hanging="360"/>
      </w:pPr>
      <w:rPr>
        <w:rFonts w:ascii="Symbol" w:hAnsi="Symbol" w:cs="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cs="Wingdings" w:hint="default"/>
      </w:rPr>
    </w:lvl>
    <w:lvl w:ilvl="3" w:tplc="04090001">
      <w:start w:val="1"/>
      <w:numFmt w:val="bullet"/>
      <w:lvlText w:val=""/>
      <w:lvlJc w:val="left"/>
      <w:pPr>
        <w:ind w:left="4046" w:hanging="360"/>
      </w:pPr>
      <w:rPr>
        <w:rFonts w:ascii="Symbol" w:hAnsi="Symbol" w:cs="Symbol" w:hint="default"/>
      </w:rPr>
    </w:lvl>
    <w:lvl w:ilvl="4" w:tplc="04090003">
      <w:start w:val="1"/>
      <w:numFmt w:val="bullet"/>
      <w:lvlText w:val="o"/>
      <w:lvlJc w:val="left"/>
      <w:pPr>
        <w:ind w:left="4766" w:hanging="360"/>
      </w:pPr>
      <w:rPr>
        <w:rFonts w:ascii="Courier New" w:hAnsi="Courier New" w:cs="Courier New" w:hint="default"/>
      </w:rPr>
    </w:lvl>
    <w:lvl w:ilvl="5" w:tplc="04090005">
      <w:start w:val="1"/>
      <w:numFmt w:val="bullet"/>
      <w:lvlText w:val=""/>
      <w:lvlJc w:val="left"/>
      <w:pPr>
        <w:ind w:left="5486" w:hanging="360"/>
      </w:pPr>
      <w:rPr>
        <w:rFonts w:ascii="Wingdings" w:hAnsi="Wingdings" w:cs="Wingdings" w:hint="default"/>
      </w:rPr>
    </w:lvl>
    <w:lvl w:ilvl="6" w:tplc="04090001">
      <w:start w:val="1"/>
      <w:numFmt w:val="bullet"/>
      <w:lvlText w:val=""/>
      <w:lvlJc w:val="left"/>
      <w:pPr>
        <w:ind w:left="6206" w:hanging="360"/>
      </w:pPr>
      <w:rPr>
        <w:rFonts w:ascii="Symbol" w:hAnsi="Symbol" w:cs="Symbol" w:hint="default"/>
      </w:rPr>
    </w:lvl>
    <w:lvl w:ilvl="7" w:tplc="04090003">
      <w:start w:val="1"/>
      <w:numFmt w:val="bullet"/>
      <w:lvlText w:val="o"/>
      <w:lvlJc w:val="left"/>
      <w:pPr>
        <w:ind w:left="6926" w:hanging="360"/>
      </w:pPr>
      <w:rPr>
        <w:rFonts w:ascii="Courier New" w:hAnsi="Courier New" w:cs="Courier New" w:hint="default"/>
      </w:rPr>
    </w:lvl>
    <w:lvl w:ilvl="8" w:tplc="04090005">
      <w:start w:val="1"/>
      <w:numFmt w:val="bullet"/>
      <w:lvlText w:val=""/>
      <w:lvlJc w:val="left"/>
      <w:pPr>
        <w:ind w:left="7646" w:hanging="360"/>
      </w:pPr>
      <w:rPr>
        <w:rFonts w:ascii="Wingdings" w:hAnsi="Wingdings" w:cs="Wingdings" w:hint="default"/>
      </w:rPr>
    </w:lvl>
  </w:abstractNum>
  <w:abstractNum w:abstractNumId="2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35C40"/>
    <w:multiLevelType w:val="hybridMultilevel"/>
    <w:tmpl w:val="02E69B28"/>
    <w:lvl w:ilvl="0" w:tplc="1009000F">
      <w:numFmt w:val="bullet"/>
      <w:lvlText w:val="-"/>
      <w:lvlJc w:val="left"/>
      <w:pPr>
        <w:ind w:left="2868" w:hanging="360"/>
      </w:pPr>
      <w:rPr>
        <w:rFonts w:ascii="Times New Roman" w:eastAsia="Times New Roman" w:hAnsi="Times New Roman" w:hint="default"/>
      </w:rPr>
    </w:lvl>
    <w:lvl w:ilvl="1" w:tplc="10090019">
      <w:start w:val="1"/>
      <w:numFmt w:val="bullet"/>
      <w:lvlText w:val="o"/>
      <w:lvlJc w:val="left"/>
      <w:pPr>
        <w:ind w:left="3588" w:hanging="360"/>
      </w:pPr>
      <w:rPr>
        <w:rFonts w:ascii="Courier New" w:hAnsi="Courier New" w:cs="Courier New" w:hint="default"/>
      </w:rPr>
    </w:lvl>
    <w:lvl w:ilvl="2" w:tplc="1009001B">
      <w:start w:val="1"/>
      <w:numFmt w:val="bullet"/>
      <w:lvlText w:val=""/>
      <w:lvlJc w:val="left"/>
      <w:pPr>
        <w:ind w:left="4308" w:hanging="360"/>
      </w:pPr>
      <w:rPr>
        <w:rFonts w:ascii="Wingdings" w:hAnsi="Wingdings" w:cs="Wingdings" w:hint="default"/>
      </w:rPr>
    </w:lvl>
    <w:lvl w:ilvl="3" w:tplc="1009000F">
      <w:start w:val="1"/>
      <w:numFmt w:val="bullet"/>
      <w:lvlText w:val=""/>
      <w:lvlJc w:val="left"/>
      <w:pPr>
        <w:ind w:left="5028" w:hanging="360"/>
      </w:pPr>
      <w:rPr>
        <w:rFonts w:ascii="Symbol" w:hAnsi="Symbol" w:cs="Symbol" w:hint="default"/>
      </w:rPr>
    </w:lvl>
    <w:lvl w:ilvl="4" w:tplc="10090019">
      <w:start w:val="1"/>
      <w:numFmt w:val="bullet"/>
      <w:lvlText w:val="o"/>
      <w:lvlJc w:val="left"/>
      <w:pPr>
        <w:ind w:left="5748" w:hanging="360"/>
      </w:pPr>
      <w:rPr>
        <w:rFonts w:ascii="Courier New" w:hAnsi="Courier New" w:cs="Courier New" w:hint="default"/>
      </w:rPr>
    </w:lvl>
    <w:lvl w:ilvl="5" w:tplc="1009001B">
      <w:start w:val="1"/>
      <w:numFmt w:val="bullet"/>
      <w:lvlText w:val=""/>
      <w:lvlJc w:val="left"/>
      <w:pPr>
        <w:ind w:left="6468" w:hanging="360"/>
      </w:pPr>
      <w:rPr>
        <w:rFonts w:ascii="Wingdings" w:hAnsi="Wingdings" w:cs="Wingdings" w:hint="default"/>
      </w:rPr>
    </w:lvl>
    <w:lvl w:ilvl="6" w:tplc="1009000F">
      <w:start w:val="1"/>
      <w:numFmt w:val="bullet"/>
      <w:lvlText w:val=""/>
      <w:lvlJc w:val="left"/>
      <w:pPr>
        <w:ind w:left="7188" w:hanging="360"/>
      </w:pPr>
      <w:rPr>
        <w:rFonts w:ascii="Symbol" w:hAnsi="Symbol" w:cs="Symbol" w:hint="default"/>
      </w:rPr>
    </w:lvl>
    <w:lvl w:ilvl="7" w:tplc="10090019">
      <w:start w:val="1"/>
      <w:numFmt w:val="bullet"/>
      <w:lvlText w:val="o"/>
      <w:lvlJc w:val="left"/>
      <w:pPr>
        <w:ind w:left="7908" w:hanging="360"/>
      </w:pPr>
      <w:rPr>
        <w:rFonts w:ascii="Courier New" w:hAnsi="Courier New" w:cs="Courier New" w:hint="default"/>
      </w:rPr>
    </w:lvl>
    <w:lvl w:ilvl="8" w:tplc="1009001B">
      <w:start w:val="1"/>
      <w:numFmt w:val="bullet"/>
      <w:lvlText w:val=""/>
      <w:lvlJc w:val="left"/>
      <w:pPr>
        <w:ind w:left="8628" w:hanging="360"/>
      </w:pPr>
      <w:rPr>
        <w:rFonts w:ascii="Wingdings" w:hAnsi="Wingdings" w:cs="Wingdings" w:hint="default"/>
      </w:rPr>
    </w:lvl>
  </w:abstractNum>
  <w:abstractNum w:abstractNumId="26">
    <w:nsid w:val="4CE36BA0"/>
    <w:multiLevelType w:val="hybridMultilevel"/>
    <w:tmpl w:val="5742DC2C"/>
    <w:lvl w:ilvl="0" w:tplc="8FDA0F80">
      <w:start w:val="1"/>
      <w:numFmt w:val="decimal"/>
      <w:lvlText w:val="[%1]"/>
      <w:lvlJc w:val="left"/>
      <w:pPr>
        <w:ind w:left="720" w:hanging="360"/>
      </w:pPr>
      <w:rPr>
        <w:rFonts w:hint="default"/>
      </w:rPr>
    </w:lvl>
    <w:lvl w:ilvl="1" w:tplc="10090003">
      <w:start w:val="1"/>
      <w:numFmt w:val="lowerLetter"/>
      <w:lvlText w:val="%2."/>
      <w:lvlJc w:val="left"/>
      <w:pPr>
        <w:ind w:left="1440" w:hanging="360"/>
      </w:pPr>
    </w:lvl>
    <w:lvl w:ilvl="2" w:tplc="10090005">
      <w:start w:val="1"/>
      <w:numFmt w:val="lowerRoman"/>
      <w:lvlText w:val="%3."/>
      <w:lvlJc w:val="right"/>
      <w:pPr>
        <w:ind w:left="2160" w:hanging="180"/>
      </w:pPr>
    </w:lvl>
    <w:lvl w:ilvl="3" w:tplc="10090001">
      <w:start w:val="1"/>
      <w:numFmt w:val="decimal"/>
      <w:lvlText w:val="%4."/>
      <w:lvlJc w:val="left"/>
      <w:pPr>
        <w:ind w:left="2880" w:hanging="360"/>
      </w:pPr>
    </w:lvl>
    <w:lvl w:ilvl="4" w:tplc="10090003">
      <w:start w:val="1"/>
      <w:numFmt w:val="lowerLetter"/>
      <w:lvlText w:val="%5."/>
      <w:lvlJc w:val="left"/>
      <w:pPr>
        <w:ind w:left="3600" w:hanging="360"/>
      </w:pPr>
    </w:lvl>
    <w:lvl w:ilvl="5" w:tplc="10090005">
      <w:start w:val="1"/>
      <w:numFmt w:val="lowerRoman"/>
      <w:lvlText w:val="%6."/>
      <w:lvlJc w:val="right"/>
      <w:pPr>
        <w:ind w:left="4320" w:hanging="180"/>
      </w:pPr>
    </w:lvl>
    <w:lvl w:ilvl="6" w:tplc="10090001">
      <w:start w:val="1"/>
      <w:numFmt w:val="decimal"/>
      <w:lvlText w:val="%7."/>
      <w:lvlJc w:val="left"/>
      <w:pPr>
        <w:ind w:left="5040" w:hanging="360"/>
      </w:pPr>
    </w:lvl>
    <w:lvl w:ilvl="7" w:tplc="10090003">
      <w:start w:val="1"/>
      <w:numFmt w:val="lowerLetter"/>
      <w:lvlText w:val="%8."/>
      <w:lvlJc w:val="left"/>
      <w:pPr>
        <w:ind w:left="5760" w:hanging="360"/>
      </w:pPr>
    </w:lvl>
    <w:lvl w:ilvl="8" w:tplc="10090005">
      <w:start w:val="1"/>
      <w:numFmt w:val="lowerRoman"/>
      <w:lvlText w:val="%9."/>
      <w:lvlJc w:val="right"/>
      <w:pPr>
        <w:ind w:left="6480" w:hanging="180"/>
      </w:pPr>
    </w:lvl>
  </w:abstractNum>
  <w:abstractNum w:abstractNumId="27">
    <w:nsid w:val="4D092585"/>
    <w:multiLevelType w:val="hybridMultilevel"/>
    <w:tmpl w:val="0B28470C"/>
    <w:lvl w:ilvl="0" w:tplc="E78A465C">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51D6447E"/>
    <w:multiLevelType w:val="hybridMultilevel"/>
    <w:tmpl w:val="D3A26522"/>
    <w:lvl w:ilvl="0" w:tplc="04090001">
      <w:start w:val="1"/>
      <w:numFmt w:val="bullet"/>
      <w:lvlText w:val=""/>
      <w:lvlJc w:val="left"/>
      <w:pPr>
        <w:ind w:left="1886" w:hanging="360"/>
      </w:pPr>
      <w:rPr>
        <w:rFonts w:ascii="Symbol" w:hAnsi="Symbol" w:cs="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cs="Wingdings" w:hint="default"/>
      </w:rPr>
    </w:lvl>
    <w:lvl w:ilvl="3" w:tplc="04090001">
      <w:start w:val="1"/>
      <w:numFmt w:val="bullet"/>
      <w:lvlText w:val=""/>
      <w:lvlJc w:val="left"/>
      <w:pPr>
        <w:ind w:left="4046" w:hanging="360"/>
      </w:pPr>
      <w:rPr>
        <w:rFonts w:ascii="Symbol" w:hAnsi="Symbol" w:cs="Symbol" w:hint="default"/>
      </w:rPr>
    </w:lvl>
    <w:lvl w:ilvl="4" w:tplc="04090003">
      <w:start w:val="1"/>
      <w:numFmt w:val="bullet"/>
      <w:lvlText w:val="o"/>
      <w:lvlJc w:val="left"/>
      <w:pPr>
        <w:ind w:left="4766" w:hanging="360"/>
      </w:pPr>
      <w:rPr>
        <w:rFonts w:ascii="Courier New" w:hAnsi="Courier New" w:cs="Courier New" w:hint="default"/>
      </w:rPr>
    </w:lvl>
    <w:lvl w:ilvl="5" w:tplc="04090005">
      <w:start w:val="1"/>
      <w:numFmt w:val="bullet"/>
      <w:lvlText w:val=""/>
      <w:lvlJc w:val="left"/>
      <w:pPr>
        <w:ind w:left="5486" w:hanging="360"/>
      </w:pPr>
      <w:rPr>
        <w:rFonts w:ascii="Wingdings" w:hAnsi="Wingdings" w:cs="Wingdings" w:hint="default"/>
      </w:rPr>
    </w:lvl>
    <w:lvl w:ilvl="6" w:tplc="04090001">
      <w:start w:val="1"/>
      <w:numFmt w:val="bullet"/>
      <w:lvlText w:val=""/>
      <w:lvlJc w:val="left"/>
      <w:pPr>
        <w:ind w:left="6206" w:hanging="360"/>
      </w:pPr>
      <w:rPr>
        <w:rFonts w:ascii="Symbol" w:hAnsi="Symbol" w:cs="Symbol" w:hint="default"/>
      </w:rPr>
    </w:lvl>
    <w:lvl w:ilvl="7" w:tplc="04090003">
      <w:start w:val="1"/>
      <w:numFmt w:val="bullet"/>
      <w:lvlText w:val="o"/>
      <w:lvlJc w:val="left"/>
      <w:pPr>
        <w:ind w:left="6926" w:hanging="360"/>
      </w:pPr>
      <w:rPr>
        <w:rFonts w:ascii="Courier New" w:hAnsi="Courier New" w:cs="Courier New" w:hint="default"/>
      </w:rPr>
    </w:lvl>
    <w:lvl w:ilvl="8" w:tplc="04090005">
      <w:start w:val="1"/>
      <w:numFmt w:val="bullet"/>
      <w:lvlText w:val=""/>
      <w:lvlJc w:val="left"/>
      <w:pPr>
        <w:ind w:left="7646" w:hanging="360"/>
      </w:pPr>
      <w:rPr>
        <w:rFonts w:ascii="Wingdings" w:hAnsi="Wingdings" w:cs="Wingdings" w:hint="default"/>
      </w:rPr>
    </w:lvl>
  </w:abstractNum>
  <w:abstractNum w:abstractNumId="29">
    <w:nsid w:val="54283EE8"/>
    <w:multiLevelType w:val="multilevel"/>
    <w:tmpl w:val="54A499D4"/>
    <w:lvl w:ilvl="0">
      <w:start w:val="1"/>
      <w:numFmt w:val="decimal"/>
      <w:pStyle w:val="ParaNoNdepar-AltN"/>
      <w:lvlText w:val="[%1]"/>
      <w:lvlJc w:val="left"/>
      <w:pPr>
        <w:tabs>
          <w:tab w:val="num" w:pos="1152"/>
        </w:tabs>
        <w:ind w:left="0" w:firstLine="0"/>
      </w:pPr>
      <w:rPr>
        <w:rFonts w:ascii="Times New Roman" w:hAnsi="Times New Roman" w:hint="default"/>
        <w:b w:val="0"/>
        <w:i w:val="0"/>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BB505B1"/>
    <w:multiLevelType w:val="hybridMultilevel"/>
    <w:tmpl w:val="279E218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1">
    <w:nsid w:val="5EFB7B49"/>
    <w:multiLevelType w:val="multilevel"/>
    <w:tmpl w:val="CF627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7A7743"/>
    <w:multiLevelType w:val="hybridMultilevel"/>
    <w:tmpl w:val="CF7671CE"/>
    <w:lvl w:ilvl="0" w:tplc="04090001">
      <w:start w:val="1"/>
      <w:numFmt w:val="bullet"/>
      <w:lvlText w:val=""/>
      <w:lvlJc w:val="left"/>
      <w:pPr>
        <w:ind w:left="1886" w:hanging="360"/>
      </w:pPr>
      <w:rPr>
        <w:rFonts w:ascii="Symbol" w:hAnsi="Symbol" w:cs="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cs="Wingdings" w:hint="default"/>
      </w:rPr>
    </w:lvl>
    <w:lvl w:ilvl="3" w:tplc="04090001">
      <w:start w:val="1"/>
      <w:numFmt w:val="bullet"/>
      <w:lvlText w:val=""/>
      <w:lvlJc w:val="left"/>
      <w:pPr>
        <w:ind w:left="4046" w:hanging="360"/>
      </w:pPr>
      <w:rPr>
        <w:rFonts w:ascii="Symbol" w:hAnsi="Symbol" w:cs="Symbol" w:hint="default"/>
      </w:rPr>
    </w:lvl>
    <w:lvl w:ilvl="4" w:tplc="04090003">
      <w:start w:val="1"/>
      <w:numFmt w:val="bullet"/>
      <w:lvlText w:val="o"/>
      <w:lvlJc w:val="left"/>
      <w:pPr>
        <w:ind w:left="4766" w:hanging="360"/>
      </w:pPr>
      <w:rPr>
        <w:rFonts w:ascii="Courier New" w:hAnsi="Courier New" w:cs="Courier New" w:hint="default"/>
      </w:rPr>
    </w:lvl>
    <w:lvl w:ilvl="5" w:tplc="04090005">
      <w:start w:val="1"/>
      <w:numFmt w:val="bullet"/>
      <w:lvlText w:val=""/>
      <w:lvlJc w:val="left"/>
      <w:pPr>
        <w:ind w:left="5486" w:hanging="360"/>
      </w:pPr>
      <w:rPr>
        <w:rFonts w:ascii="Wingdings" w:hAnsi="Wingdings" w:cs="Wingdings" w:hint="default"/>
      </w:rPr>
    </w:lvl>
    <w:lvl w:ilvl="6" w:tplc="04090001">
      <w:start w:val="1"/>
      <w:numFmt w:val="bullet"/>
      <w:lvlText w:val=""/>
      <w:lvlJc w:val="left"/>
      <w:pPr>
        <w:ind w:left="6206" w:hanging="360"/>
      </w:pPr>
      <w:rPr>
        <w:rFonts w:ascii="Symbol" w:hAnsi="Symbol" w:cs="Symbol" w:hint="default"/>
      </w:rPr>
    </w:lvl>
    <w:lvl w:ilvl="7" w:tplc="04090003">
      <w:start w:val="1"/>
      <w:numFmt w:val="bullet"/>
      <w:lvlText w:val="o"/>
      <w:lvlJc w:val="left"/>
      <w:pPr>
        <w:ind w:left="6926" w:hanging="360"/>
      </w:pPr>
      <w:rPr>
        <w:rFonts w:ascii="Courier New" w:hAnsi="Courier New" w:cs="Courier New" w:hint="default"/>
      </w:rPr>
    </w:lvl>
    <w:lvl w:ilvl="8" w:tplc="04090005">
      <w:start w:val="1"/>
      <w:numFmt w:val="bullet"/>
      <w:lvlText w:val=""/>
      <w:lvlJc w:val="left"/>
      <w:pPr>
        <w:ind w:left="7646" w:hanging="360"/>
      </w:pPr>
      <w:rPr>
        <w:rFonts w:ascii="Wingdings" w:hAnsi="Wingdings" w:cs="Wingdings" w:hint="default"/>
      </w:rPr>
    </w:lvl>
  </w:abstractNum>
  <w:abstractNum w:abstractNumId="33">
    <w:nsid w:val="655E1740"/>
    <w:multiLevelType w:val="hybridMultilevel"/>
    <w:tmpl w:val="535EC1AC"/>
    <w:lvl w:ilvl="0" w:tplc="1A022C58">
      <w:start w:val="1"/>
      <w:numFmt w:val="decimal"/>
      <w:lvlText w:val="%1."/>
      <w:lvlJc w:val="left"/>
      <w:pPr>
        <w:ind w:left="720" w:hanging="360"/>
      </w:pPr>
    </w:lvl>
    <w:lvl w:ilvl="1" w:tplc="8BC2014C">
      <w:start w:val="1"/>
      <w:numFmt w:val="lowerLetter"/>
      <w:lvlText w:val="%2."/>
      <w:lvlJc w:val="left"/>
      <w:pPr>
        <w:ind w:left="1440" w:hanging="360"/>
      </w:pPr>
    </w:lvl>
    <w:lvl w:ilvl="2" w:tplc="F8E2AB96">
      <w:start w:val="1"/>
      <w:numFmt w:val="lowerRoman"/>
      <w:lvlText w:val="%3."/>
      <w:lvlJc w:val="right"/>
      <w:pPr>
        <w:ind w:left="2160" w:hanging="180"/>
      </w:pPr>
    </w:lvl>
    <w:lvl w:ilvl="3" w:tplc="32FC4F46">
      <w:start w:val="1"/>
      <w:numFmt w:val="decimal"/>
      <w:lvlText w:val="%4."/>
      <w:lvlJc w:val="left"/>
      <w:pPr>
        <w:ind w:left="2880" w:hanging="360"/>
      </w:pPr>
    </w:lvl>
    <w:lvl w:ilvl="4" w:tplc="C7E29FA4">
      <w:start w:val="1"/>
      <w:numFmt w:val="lowerLetter"/>
      <w:lvlText w:val="%5."/>
      <w:lvlJc w:val="left"/>
      <w:pPr>
        <w:ind w:left="3600" w:hanging="360"/>
      </w:pPr>
    </w:lvl>
    <w:lvl w:ilvl="5" w:tplc="DC2035F0">
      <w:start w:val="1"/>
      <w:numFmt w:val="lowerRoman"/>
      <w:lvlText w:val="%6."/>
      <w:lvlJc w:val="right"/>
      <w:pPr>
        <w:ind w:left="4320" w:hanging="180"/>
      </w:pPr>
    </w:lvl>
    <w:lvl w:ilvl="6" w:tplc="9BB4D238">
      <w:start w:val="1"/>
      <w:numFmt w:val="decimal"/>
      <w:lvlText w:val="%7."/>
      <w:lvlJc w:val="left"/>
      <w:pPr>
        <w:ind w:left="5040" w:hanging="360"/>
      </w:pPr>
    </w:lvl>
    <w:lvl w:ilvl="7" w:tplc="58F07BA0">
      <w:start w:val="1"/>
      <w:numFmt w:val="lowerLetter"/>
      <w:lvlText w:val="%8."/>
      <w:lvlJc w:val="left"/>
      <w:pPr>
        <w:ind w:left="5760" w:hanging="360"/>
      </w:pPr>
    </w:lvl>
    <w:lvl w:ilvl="8" w:tplc="33F4A2B6">
      <w:start w:val="1"/>
      <w:numFmt w:val="lowerRoman"/>
      <w:lvlText w:val="%9."/>
      <w:lvlJc w:val="right"/>
      <w:pPr>
        <w:ind w:left="6480" w:hanging="180"/>
      </w:pPr>
    </w:lvl>
  </w:abstractNum>
  <w:abstractNum w:abstractNumId="34">
    <w:nsid w:val="657C12AC"/>
    <w:multiLevelType w:val="multilevel"/>
    <w:tmpl w:val="0EB49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714829"/>
    <w:multiLevelType w:val="multilevel"/>
    <w:tmpl w:val="1B84E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A97088"/>
    <w:multiLevelType w:val="hybridMultilevel"/>
    <w:tmpl w:val="6F9086EC"/>
    <w:lvl w:ilvl="0" w:tplc="A6C416DC">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7D49382D"/>
    <w:multiLevelType w:val="multilevel"/>
    <w:tmpl w:val="C1405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681B2D"/>
    <w:multiLevelType w:val="multilevel"/>
    <w:tmpl w:val="9D2AD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3"/>
  </w:num>
  <w:num w:numId="3">
    <w:abstractNumId w:val="17"/>
  </w:num>
  <w:num w:numId="4">
    <w:abstractNumId w:val="11"/>
  </w:num>
  <w:num w:numId="5">
    <w:abstractNumId w:val="25"/>
  </w:num>
  <w:num w:numId="6">
    <w:abstractNumId w:val="26"/>
  </w:num>
  <w:num w:numId="7">
    <w:abstractNumId w:val="27"/>
    <w:lvlOverride w:ilvl="0">
      <w:startOverride w:val="1"/>
    </w:lvlOverride>
  </w:num>
  <w:num w:numId="8">
    <w:abstractNumId w:val="14"/>
  </w:num>
  <w:num w:numId="9">
    <w:abstractNumId w:val="21"/>
  </w:num>
  <w:num w:numId="10">
    <w:abstractNumId w:val="27"/>
  </w:num>
  <w:num w:numId="11">
    <w:abstractNumId w:val="10"/>
  </w:num>
  <w:num w:numId="12">
    <w:abstractNumId w:val="30"/>
  </w:num>
  <w:num w:numId="13">
    <w:abstractNumId w:val="28"/>
  </w:num>
  <w:num w:numId="14">
    <w:abstractNumId w:val="18"/>
  </w:num>
  <w:num w:numId="15">
    <w:abstractNumId w:val="19"/>
  </w:num>
  <w:num w:numId="16">
    <w:abstractNumId w:val="32"/>
  </w:num>
  <w:num w:numId="17">
    <w:abstractNumId w:val="23"/>
  </w:num>
  <w:num w:numId="18">
    <w:abstractNumId w:val="36"/>
  </w:num>
  <w:num w:numId="19">
    <w:abstractNumId w:val="13"/>
  </w:num>
  <w:num w:numId="20">
    <w:abstractNumId w:val="16"/>
  </w:num>
  <w:num w:numId="21">
    <w:abstractNumId w:val="22"/>
  </w:num>
  <w:num w:numId="22">
    <w:abstractNumId w:val="35"/>
  </w:num>
  <w:num w:numId="23">
    <w:abstractNumId w:val="37"/>
  </w:num>
  <w:num w:numId="24">
    <w:abstractNumId w:val="15"/>
  </w:num>
  <w:num w:numId="25">
    <w:abstractNumId w:val="12"/>
  </w:num>
  <w:num w:numId="26">
    <w:abstractNumId w:val="38"/>
  </w:num>
  <w:num w:numId="27">
    <w:abstractNumId w:val="31"/>
  </w:num>
  <w:num w:numId="28">
    <w:abstractNumId w:val="34"/>
  </w:num>
  <w:num w:numId="29">
    <w:abstractNumId w:val="20"/>
  </w:num>
  <w:num w:numId="30">
    <w:abstractNumId w:val="2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3905"/>
  </w:hdrShapeDefaults>
  <w:footnotePr>
    <w:footnote w:id="-1"/>
    <w:footnote w:id="0"/>
  </w:footnotePr>
  <w:endnotePr>
    <w:endnote w:id="-1"/>
    <w:endnote w:id="0"/>
  </w:endnotePr>
  <w:compat/>
  <w:rsids>
    <w:rsidRoot w:val="0031414C"/>
    <w:rsid w:val="0001433E"/>
    <w:rsid w:val="000148B3"/>
    <w:rsid w:val="00025198"/>
    <w:rsid w:val="0003160C"/>
    <w:rsid w:val="00035A48"/>
    <w:rsid w:val="0004157D"/>
    <w:rsid w:val="00055A36"/>
    <w:rsid w:val="000578A3"/>
    <w:rsid w:val="00064563"/>
    <w:rsid w:val="000648CC"/>
    <w:rsid w:val="00094DE0"/>
    <w:rsid w:val="000A5321"/>
    <w:rsid w:val="000B74B0"/>
    <w:rsid w:val="000C0DFE"/>
    <w:rsid w:val="000C59B8"/>
    <w:rsid w:val="000E01D8"/>
    <w:rsid w:val="001077A8"/>
    <w:rsid w:val="00111DE2"/>
    <w:rsid w:val="00116B38"/>
    <w:rsid w:val="0012175E"/>
    <w:rsid w:val="00125845"/>
    <w:rsid w:val="0013109F"/>
    <w:rsid w:val="001332A4"/>
    <w:rsid w:val="00135406"/>
    <w:rsid w:val="00135972"/>
    <w:rsid w:val="00140667"/>
    <w:rsid w:val="001426A9"/>
    <w:rsid w:val="00144200"/>
    <w:rsid w:val="00146775"/>
    <w:rsid w:val="00154D7C"/>
    <w:rsid w:val="001570B0"/>
    <w:rsid w:val="00162607"/>
    <w:rsid w:val="0016610E"/>
    <w:rsid w:val="00172A04"/>
    <w:rsid w:val="00175A97"/>
    <w:rsid w:val="001822AF"/>
    <w:rsid w:val="00185394"/>
    <w:rsid w:val="0019332B"/>
    <w:rsid w:val="001973F3"/>
    <w:rsid w:val="001A451D"/>
    <w:rsid w:val="001A5A6E"/>
    <w:rsid w:val="001A7570"/>
    <w:rsid w:val="001B33E0"/>
    <w:rsid w:val="001B4573"/>
    <w:rsid w:val="001B7A10"/>
    <w:rsid w:val="001C779F"/>
    <w:rsid w:val="001D2AC1"/>
    <w:rsid w:val="001E36A5"/>
    <w:rsid w:val="001E704B"/>
    <w:rsid w:val="001F3C38"/>
    <w:rsid w:val="001F7673"/>
    <w:rsid w:val="00205B84"/>
    <w:rsid w:val="00205FD7"/>
    <w:rsid w:val="00220FC2"/>
    <w:rsid w:val="00224FC0"/>
    <w:rsid w:val="00225EA4"/>
    <w:rsid w:val="00226789"/>
    <w:rsid w:val="00226EAF"/>
    <w:rsid w:val="00230432"/>
    <w:rsid w:val="00231F3A"/>
    <w:rsid w:val="002341D1"/>
    <w:rsid w:val="002406EE"/>
    <w:rsid w:val="00260629"/>
    <w:rsid w:val="002745CC"/>
    <w:rsid w:val="00286FB8"/>
    <w:rsid w:val="002A18F2"/>
    <w:rsid w:val="002B4142"/>
    <w:rsid w:val="002B54B9"/>
    <w:rsid w:val="002C0E85"/>
    <w:rsid w:val="002C0FCE"/>
    <w:rsid w:val="002C477E"/>
    <w:rsid w:val="002D39A4"/>
    <w:rsid w:val="002E6705"/>
    <w:rsid w:val="002F09C0"/>
    <w:rsid w:val="002F526A"/>
    <w:rsid w:val="002F696C"/>
    <w:rsid w:val="0030138C"/>
    <w:rsid w:val="0030329A"/>
    <w:rsid w:val="00307AFD"/>
    <w:rsid w:val="0031086F"/>
    <w:rsid w:val="00310E05"/>
    <w:rsid w:val="0031185A"/>
    <w:rsid w:val="00312617"/>
    <w:rsid w:val="0031414C"/>
    <w:rsid w:val="00314E01"/>
    <w:rsid w:val="0032089D"/>
    <w:rsid w:val="003257C0"/>
    <w:rsid w:val="0033393C"/>
    <w:rsid w:val="00345203"/>
    <w:rsid w:val="0034770C"/>
    <w:rsid w:val="0035259D"/>
    <w:rsid w:val="00385464"/>
    <w:rsid w:val="003866EC"/>
    <w:rsid w:val="00394476"/>
    <w:rsid w:val="003A4C70"/>
    <w:rsid w:val="003A4E15"/>
    <w:rsid w:val="003B27B1"/>
    <w:rsid w:val="003C799C"/>
    <w:rsid w:val="003E1C71"/>
    <w:rsid w:val="003F327B"/>
    <w:rsid w:val="003F3671"/>
    <w:rsid w:val="004059A7"/>
    <w:rsid w:val="00406166"/>
    <w:rsid w:val="00411300"/>
    <w:rsid w:val="00426659"/>
    <w:rsid w:val="0043088E"/>
    <w:rsid w:val="004439D8"/>
    <w:rsid w:val="00445FD8"/>
    <w:rsid w:val="00447A0C"/>
    <w:rsid w:val="00462FA5"/>
    <w:rsid w:val="00465132"/>
    <w:rsid w:val="00472375"/>
    <w:rsid w:val="00480C90"/>
    <w:rsid w:val="00481062"/>
    <w:rsid w:val="0048396F"/>
    <w:rsid w:val="00493C18"/>
    <w:rsid w:val="00494CDC"/>
    <w:rsid w:val="004A600C"/>
    <w:rsid w:val="004C478D"/>
    <w:rsid w:val="004D118D"/>
    <w:rsid w:val="004E6A2C"/>
    <w:rsid w:val="004F473D"/>
    <w:rsid w:val="00504FD5"/>
    <w:rsid w:val="00516B42"/>
    <w:rsid w:val="00521AE8"/>
    <w:rsid w:val="00527180"/>
    <w:rsid w:val="00536719"/>
    <w:rsid w:val="00547EF0"/>
    <w:rsid w:val="005564A7"/>
    <w:rsid w:val="00556B74"/>
    <w:rsid w:val="005606E4"/>
    <w:rsid w:val="005B510F"/>
    <w:rsid w:val="005C62E7"/>
    <w:rsid w:val="005D5F76"/>
    <w:rsid w:val="005E4698"/>
    <w:rsid w:val="0060707A"/>
    <w:rsid w:val="00610357"/>
    <w:rsid w:val="00625C35"/>
    <w:rsid w:val="00634E1B"/>
    <w:rsid w:val="0064272C"/>
    <w:rsid w:val="006431C2"/>
    <w:rsid w:val="00645057"/>
    <w:rsid w:val="00647CB4"/>
    <w:rsid w:val="00654858"/>
    <w:rsid w:val="006565F4"/>
    <w:rsid w:val="00681AD1"/>
    <w:rsid w:val="00683BC4"/>
    <w:rsid w:val="0068492D"/>
    <w:rsid w:val="006A0387"/>
    <w:rsid w:val="006A56F1"/>
    <w:rsid w:val="006B5FF5"/>
    <w:rsid w:val="006C28C1"/>
    <w:rsid w:val="006C5661"/>
    <w:rsid w:val="006D259A"/>
    <w:rsid w:val="006D4790"/>
    <w:rsid w:val="00701759"/>
    <w:rsid w:val="00702C6F"/>
    <w:rsid w:val="00740F9A"/>
    <w:rsid w:val="00744EB4"/>
    <w:rsid w:val="00747288"/>
    <w:rsid w:val="00747DD3"/>
    <w:rsid w:val="00752F4E"/>
    <w:rsid w:val="007549C8"/>
    <w:rsid w:val="00754C1C"/>
    <w:rsid w:val="007564CF"/>
    <w:rsid w:val="00762D30"/>
    <w:rsid w:val="00763377"/>
    <w:rsid w:val="0076394D"/>
    <w:rsid w:val="00765712"/>
    <w:rsid w:val="00766D14"/>
    <w:rsid w:val="00767A0F"/>
    <w:rsid w:val="0078333B"/>
    <w:rsid w:val="007834A8"/>
    <w:rsid w:val="007941DE"/>
    <w:rsid w:val="007A05F6"/>
    <w:rsid w:val="007B6F4A"/>
    <w:rsid w:val="007C3CA3"/>
    <w:rsid w:val="007D56F1"/>
    <w:rsid w:val="007E1C47"/>
    <w:rsid w:val="007E337A"/>
    <w:rsid w:val="007E5151"/>
    <w:rsid w:val="007E5799"/>
    <w:rsid w:val="007E5C70"/>
    <w:rsid w:val="007F2FF5"/>
    <w:rsid w:val="0081312F"/>
    <w:rsid w:val="00817190"/>
    <w:rsid w:val="00827956"/>
    <w:rsid w:val="008322BD"/>
    <w:rsid w:val="00843757"/>
    <w:rsid w:val="00855307"/>
    <w:rsid w:val="00862CF3"/>
    <w:rsid w:val="00864CF8"/>
    <w:rsid w:val="0087113B"/>
    <w:rsid w:val="00874914"/>
    <w:rsid w:val="00886071"/>
    <w:rsid w:val="00892E1A"/>
    <w:rsid w:val="008958F5"/>
    <w:rsid w:val="00895D44"/>
    <w:rsid w:val="008A4631"/>
    <w:rsid w:val="008A6558"/>
    <w:rsid w:val="008A727C"/>
    <w:rsid w:val="008A73FD"/>
    <w:rsid w:val="008C01DA"/>
    <w:rsid w:val="008F16D9"/>
    <w:rsid w:val="008F78E9"/>
    <w:rsid w:val="00902462"/>
    <w:rsid w:val="00907059"/>
    <w:rsid w:val="009403F3"/>
    <w:rsid w:val="00941927"/>
    <w:rsid w:val="009424FD"/>
    <w:rsid w:val="00943AA5"/>
    <w:rsid w:val="00944CE7"/>
    <w:rsid w:val="00957FA2"/>
    <w:rsid w:val="00966913"/>
    <w:rsid w:val="00967374"/>
    <w:rsid w:val="0097543E"/>
    <w:rsid w:val="00977838"/>
    <w:rsid w:val="00977E8F"/>
    <w:rsid w:val="00983F3F"/>
    <w:rsid w:val="00985C69"/>
    <w:rsid w:val="0099079B"/>
    <w:rsid w:val="009923C9"/>
    <w:rsid w:val="009969EB"/>
    <w:rsid w:val="00997F6F"/>
    <w:rsid w:val="009B2F23"/>
    <w:rsid w:val="009B53E2"/>
    <w:rsid w:val="009B57B3"/>
    <w:rsid w:val="009C008A"/>
    <w:rsid w:val="009D5AEB"/>
    <w:rsid w:val="009F383F"/>
    <w:rsid w:val="00A00A78"/>
    <w:rsid w:val="00A036CC"/>
    <w:rsid w:val="00A05F0E"/>
    <w:rsid w:val="00A21107"/>
    <w:rsid w:val="00A21B90"/>
    <w:rsid w:val="00A24E15"/>
    <w:rsid w:val="00A26A9C"/>
    <w:rsid w:val="00A4134C"/>
    <w:rsid w:val="00A46FD6"/>
    <w:rsid w:val="00A52153"/>
    <w:rsid w:val="00A525EF"/>
    <w:rsid w:val="00A548CB"/>
    <w:rsid w:val="00A6110B"/>
    <w:rsid w:val="00A6242E"/>
    <w:rsid w:val="00A643E7"/>
    <w:rsid w:val="00A72B14"/>
    <w:rsid w:val="00A72FC8"/>
    <w:rsid w:val="00A73C38"/>
    <w:rsid w:val="00AB2C57"/>
    <w:rsid w:val="00AB5826"/>
    <w:rsid w:val="00AC6322"/>
    <w:rsid w:val="00AC7437"/>
    <w:rsid w:val="00AC7A44"/>
    <w:rsid w:val="00AD1624"/>
    <w:rsid w:val="00AE2FF9"/>
    <w:rsid w:val="00AE405D"/>
    <w:rsid w:val="00AF03C5"/>
    <w:rsid w:val="00AF34E1"/>
    <w:rsid w:val="00B000D8"/>
    <w:rsid w:val="00B00F75"/>
    <w:rsid w:val="00B145B6"/>
    <w:rsid w:val="00B17012"/>
    <w:rsid w:val="00B3658D"/>
    <w:rsid w:val="00B50C81"/>
    <w:rsid w:val="00B536E1"/>
    <w:rsid w:val="00B557F8"/>
    <w:rsid w:val="00B64972"/>
    <w:rsid w:val="00B65D54"/>
    <w:rsid w:val="00B66DD8"/>
    <w:rsid w:val="00B67F7C"/>
    <w:rsid w:val="00B8145D"/>
    <w:rsid w:val="00B815FC"/>
    <w:rsid w:val="00B8202E"/>
    <w:rsid w:val="00B91114"/>
    <w:rsid w:val="00B929B4"/>
    <w:rsid w:val="00B93FBC"/>
    <w:rsid w:val="00BA311C"/>
    <w:rsid w:val="00BE155A"/>
    <w:rsid w:val="00BE4A73"/>
    <w:rsid w:val="00C02092"/>
    <w:rsid w:val="00C057F7"/>
    <w:rsid w:val="00C0663B"/>
    <w:rsid w:val="00C17CD8"/>
    <w:rsid w:val="00C24C8C"/>
    <w:rsid w:val="00C24D91"/>
    <w:rsid w:val="00C50B81"/>
    <w:rsid w:val="00C52532"/>
    <w:rsid w:val="00C53F14"/>
    <w:rsid w:val="00C55C2E"/>
    <w:rsid w:val="00C600CF"/>
    <w:rsid w:val="00C6084F"/>
    <w:rsid w:val="00C62A66"/>
    <w:rsid w:val="00C62A6F"/>
    <w:rsid w:val="00C67CA5"/>
    <w:rsid w:val="00C71458"/>
    <w:rsid w:val="00C71F58"/>
    <w:rsid w:val="00C77613"/>
    <w:rsid w:val="00C828E7"/>
    <w:rsid w:val="00C921DD"/>
    <w:rsid w:val="00CA33D4"/>
    <w:rsid w:val="00CA4D82"/>
    <w:rsid w:val="00CA6391"/>
    <w:rsid w:val="00CA69EF"/>
    <w:rsid w:val="00CB2546"/>
    <w:rsid w:val="00CC0B98"/>
    <w:rsid w:val="00CE3171"/>
    <w:rsid w:val="00CF1601"/>
    <w:rsid w:val="00D10603"/>
    <w:rsid w:val="00D318F5"/>
    <w:rsid w:val="00D32086"/>
    <w:rsid w:val="00D37A3F"/>
    <w:rsid w:val="00D45FCF"/>
    <w:rsid w:val="00D4667A"/>
    <w:rsid w:val="00D510BB"/>
    <w:rsid w:val="00D5435D"/>
    <w:rsid w:val="00D577BF"/>
    <w:rsid w:val="00D74F2E"/>
    <w:rsid w:val="00D8674E"/>
    <w:rsid w:val="00D919DA"/>
    <w:rsid w:val="00D967E8"/>
    <w:rsid w:val="00DA0590"/>
    <w:rsid w:val="00DC1788"/>
    <w:rsid w:val="00DC5A58"/>
    <w:rsid w:val="00DD4A74"/>
    <w:rsid w:val="00DE1947"/>
    <w:rsid w:val="00DE1C65"/>
    <w:rsid w:val="00DE3ADF"/>
    <w:rsid w:val="00DF0CA8"/>
    <w:rsid w:val="00DF49A7"/>
    <w:rsid w:val="00DF7707"/>
    <w:rsid w:val="00E01106"/>
    <w:rsid w:val="00E03804"/>
    <w:rsid w:val="00E063ED"/>
    <w:rsid w:val="00E07EE2"/>
    <w:rsid w:val="00E130C9"/>
    <w:rsid w:val="00E1372C"/>
    <w:rsid w:val="00E14776"/>
    <w:rsid w:val="00E208A8"/>
    <w:rsid w:val="00E24573"/>
    <w:rsid w:val="00E27EBA"/>
    <w:rsid w:val="00E377A1"/>
    <w:rsid w:val="00E43C4D"/>
    <w:rsid w:val="00E45109"/>
    <w:rsid w:val="00E54B02"/>
    <w:rsid w:val="00E57400"/>
    <w:rsid w:val="00E60A3D"/>
    <w:rsid w:val="00E61D58"/>
    <w:rsid w:val="00E6288C"/>
    <w:rsid w:val="00E77C42"/>
    <w:rsid w:val="00E97830"/>
    <w:rsid w:val="00EA03E5"/>
    <w:rsid w:val="00EB72DB"/>
    <w:rsid w:val="00ED2BB5"/>
    <w:rsid w:val="00EE0FAF"/>
    <w:rsid w:val="00EF4C61"/>
    <w:rsid w:val="00F00EB7"/>
    <w:rsid w:val="00F16842"/>
    <w:rsid w:val="00F2258E"/>
    <w:rsid w:val="00F310BE"/>
    <w:rsid w:val="00F3227F"/>
    <w:rsid w:val="00F33658"/>
    <w:rsid w:val="00F36AB6"/>
    <w:rsid w:val="00F36DC3"/>
    <w:rsid w:val="00F409CE"/>
    <w:rsid w:val="00F60059"/>
    <w:rsid w:val="00F71F12"/>
    <w:rsid w:val="00F84DF4"/>
    <w:rsid w:val="00F853FB"/>
    <w:rsid w:val="00F85C97"/>
    <w:rsid w:val="00F860EB"/>
    <w:rsid w:val="00F93D60"/>
    <w:rsid w:val="00FA0A4E"/>
    <w:rsid w:val="00FA2FE1"/>
    <w:rsid w:val="00FA7838"/>
    <w:rsid w:val="00FB7070"/>
    <w:rsid w:val="00FC0C61"/>
    <w:rsid w:val="00FC1290"/>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D8"/>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E208A8"/>
    <w:pPr>
      <w:keepNext/>
      <w:keepLines/>
      <w:spacing w:before="200"/>
      <w:outlineLvl w:val="2"/>
    </w:pPr>
    <w:rPr>
      <w:rFonts w:ascii="Cambria" w:hAnsi="Cambria" w:cs="Cambria"/>
      <w:b/>
      <w:bCs/>
      <w:color w:val="4F81BD"/>
      <w:szCs w:val="24"/>
      <w:lang w:val="en-CA"/>
    </w:rPr>
  </w:style>
  <w:style w:type="paragraph" w:styleId="Heading4">
    <w:name w:val="heading 4"/>
    <w:basedOn w:val="Normal"/>
    <w:next w:val="Normal"/>
    <w:link w:val="Heading4Char"/>
    <w:uiPriority w:val="99"/>
    <w:qFormat/>
    <w:rsid w:val="00E208A8"/>
    <w:pPr>
      <w:spacing w:before="200" w:after="240" w:line="480" w:lineRule="auto"/>
      <w:ind w:firstLine="851"/>
      <w:outlineLvl w:val="3"/>
    </w:pPr>
    <w:rPr>
      <w:rFonts w:ascii="Cambria" w:hAnsi="Cambria" w:cs="Cambria"/>
      <w:sz w:val="22"/>
      <w:szCs w:val="22"/>
      <w:u w:val="single"/>
      <w:lang w:val="en-CA" w:eastAsia="en-US"/>
    </w:rPr>
  </w:style>
  <w:style w:type="paragraph" w:styleId="Heading5">
    <w:name w:val="heading 5"/>
    <w:basedOn w:val="Normal"/>
    <w:next w:val="Normal"/>
    <w:link w:val="Heading5Char"/>
    <w:uiPriority w:val="99"/>
    <w:qFormat/>
    <w:rsid w:val="00E208A8"/>
    <w:pPr>
      <w:spacing w:before="200" w:after="240" w:line="480" w:lineRule="auto"/>
      <w:ind w:firstLine="720"/>
      <w:outlineLvl w:val="4"/>
    </w:pPr>
    <w:rPr>
      <w:rFonts w:ascii="Cambria" w:hAnsi="Cambria" w:cs="Cambria"/>
      <w:b/>
      <w:bCs/>
      <w:color w:val="7F7F7F"/>
      <w:sz w:val="22"/>
      <w:szCs w:val="22"/>
      <w:lang w:val="en-US" w:eastAsia="en-US"/>
    </w:rPr>
  </w:style>
  <w:style w:type="paragraph" w:styleId="Heading6">
    <w:name w:val="heading 6"/>
    <w:basedOn w:val="Normal"/>
    <w:next w:val="Normal"/>
    <w:link w:val="Heading6Char"/>
    <w:uiPriority w:val="99"/>
    <w:qFormat/>
    <w:rsid w:val="00E208A8"/>
    <w:pPr>
      <w:spacing w:after="240" w:line="271" w:lineRule="auto"/>
      <w:ind w:firstLine="720"/>
      <w:outlineLvl w:val="5"/>
    </w:pPr>
    <w:rPr>
      <w:rFonts w:ascii="Cambria" w:hAnsi="Cambria" w:cs="Cambria"/>
      <w:b/>
      <w:bCs/>
      <w:i/>
      <w:iCs/>
      <w:color w:val="7F7F7F"/>
      <w:sz w:val="22"/>
      <w:szCs w:val="22"/>
      <w:lang w:val="en-US" w:eastAsia="en-US"/>
    </w:rPr>
  </w:style>
  <w:style w:type="paragraph" w:styleId="Heading7">
    <w:name w:val="heading 7"/>
    <w:basedOn w:val="Normal"/>
    <w:next w:val="Normal"/>
    <w:link w:val="Heading7Char"/>
    <w:uiPriority w:val="99"/>
    <w:qFormat/>
    <w:rsid w:val="00E208A8"/>
    <w:pPr>
      <w:spacing w:after="240" w:line="480" w:lineRule="auto"/>
      <w:ind w:firstLine="720"/>
      <w:outlineLvl w:val="6"/>
    </w:pPr>
    <w:rPr>
      <w:rFonts w:ascii="Cambria" w:hAnsi="Cambria" w:cs="Cambria"/>
      <w:i/>
      <w:iCs/>
      <w:sz w:val="22"/>
      <w:szCs w:val="22"/>
      <w:lang w:val="en-US" w:eastAsia="en-US"/>
    </w:rPr>
  </w:style>
  <w:style w:type="paragraph" w:styleId="Heading8">
    <w:name w:val="heading 8"/>
    <w:basedOn w:val="Normal"/>
    <w:next w:val="Normal"/>
    <w:link w:val="Heading8Char"/>
    <w:uiPriority w:val="99"/>
    <w:qFormat/>
    <w:rsid w:val="00E208A8"/>
    <w:pPr>
      <w:spacing w:after="240" w:line="480" w:lineRule="auto"/>
      <w:ind w:firstLine="720"/>
      <w:outlineLvl w:val="7"/>
    </w:pPr>
    <w:rPr>
      <w:rFonts w:ascii="Cambria" w:hAnsi="Cambria" w:cs="Cambria"/>
      <w:sz w:val="20"/>
      <w:lang w:val="en-US" w:eastAsia="en-US"/>
    </w:rPr>
  </w:style>
  <w:style w:type="paragraph" w:styleId="Heading9">
    <w:name w:val="heading 9"/>
    <w:basedOn w:val="Normal"/>
    <w:next w:val="Normal"/>
    <w:link w:val="Heading9Char"/>
    <w:uiPriority w:val="99"/>
    <w:qFormat/>
    <w:rsid w:val="00E208A8"/>
    <w:pPr>
      <w:spacing w:after="240" w:line="480" w:lineRule="auto"/>
      <w:ind w:firstLine="720"/>
      <w:outlineLvl w:val="8"/>
    </w:pPr>
    <w:rPr>
      <w:rFonts w:ascii="Cambria" w:hAnsi="Cambria" w:cs="Cambria"/>
      <w:i/>
      <w:iCs/>
      <w:spacing w:val="5"/>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99"/>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943AA5"/>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9"/>
    <w:rsid w:val="00E208A8"/>
    <w:rPr>
      <w:rFonts w:ascii="Cambria" w:hAnsi="Cambria" w:cs="Cambria"/>
      <w:b/>
      <w:bCs/>
      <w:color w:val="4F81BD"/>
      <w:sz w:val="24"/>
      <w:szCs w:val="24"/>
    </w:rPr>
  </w:style>
  <w:style w:type="character" w:customStyle="1" w:styleId="Heading4Char">
    <w:name w:val="Heading 4 Char"/>
    <w:basedOn w:val="DefaultParagraphFont"/>
    <w:link w:val="Heading4"/>
    <w:uiPriority w:val="99"/>
    <w:rsid w:val="00E208A8"/>
    <w:rPr>
      <w:rFonts w:ascii="Cambria" w:hAnsi="Cambria" w:cs="Cambria"/>
      <w:sz w:val="22"/>
      <w:szCs w:val="22"/>
      <w:u w:val="single"/>
      <w:lang w:eastAsia="en-US"/>
    </w:rPr>
  </w:style>
  <w:style w:type="character" w:customStyle="1" w:styleId="Heading5Char">
    <w:name w:val="Heading 5 Char"/>
    <w:basedOn w:val="DefaultParagraphFont"/>
    <w:link w:val="Heading5"/>
    <w:uiPriority w:val="99"/>
    <w:rsid w:val="00E208A8"/>
    <w:rPr>
      <w:rFonts w:ascii="Cambria" w:hAnsi="Cambria" w:cs="Cambria"/>
      <w:b/>
      <w:bCs/>
      <w:color w:val="7F7F7F"/>
      <w:sz w:val="22"/>
      <w:szCs w:val="22"/>
      <w:lang w:val="en-US" w:eastAsia="en-US"/>
    </w:rPr>
  </w:style>
  <w:style w:type="character" w:customStyle="1" w:styleId="Heading6Char">
    <w:name w:val="Heading 6 Char"/>
    <w:basedOn w:val="DefaultParagraphFont"/>
    <w:link w:val="Heading6"/>
    <w:uiPriority w:val="99"/>
    <w:rsid w:val="00E208A8"/>
    <w:rPr>
      <w:rFonts w:ascii="Cambria" w:hAnsi="Cambria" w:cs="Cambria"/>
      <w:b/>
      <w:bCs/>
      <w:i/>
      <w:iCs/>
      <w:color w:val="7F7F7F"/>
      <w:sz w:val="22"/>
      <w:szCs w:val="22"/>
      <w:lang w:val="en-US" w:eastAsia="en-US"/>
    </w:rPr>
  </w:style>
  <w:style w:type="character" w:customStyle="1" w:styleId="Heading7Char">
    <w:name w:val="Heading 7 Char"/>
    <w:basedOn w:val="DefaultParagraphFont"/>
    <w:link w:val="Heading7"/>
    <w:uiPriority w:val="99"/>
    <w:rsid w:val="00E208A8"/>
    <w:rPr>
      <w:rFonts w:ascii="Cambria" w:hAnsi="Cambria" w:cs="Cambria"/>
      <w:i/>
      <w:iCs/>
      <w:sz w:val="22"/>
      <w:szCs w:val="22"/>
      <w:lang w:val="en-US" w:eastAsia="en-US"/>
    </w:rPr>
  </w:style>
  <w:style w:type="character" w:customStyle="1" w:styleId="Heading8Char">
    <w:name w:val="Heading 8 Char"/>
    <w:basedOn w:val="DefaultParagraphFont"/>
    <w:link w:val="Heading8"/>
    <w:uiPriority w:val="99"/>
    <w:rsid w:val="00E208A8"/>
    <w:rPr>
      <w:rFonts w:ascii="Cambria" w:hAnsi="Cambria" w:cs="Cambria"/>
      <w:lang w:val="en-US" w:eastAsia="en-US"/>
    </w:rPr>
  </w:style>
  <w:style w:type="character" w:customStyle="1" w:styleId="Heading9Char">
    <w:name w:val="Heading 9 Char"/>
    <w:basedOn w:val="DefaultParagraphFont"/>
    <w:link w:val="Heading9"/>
    <w:uiPriority w:val="99"/>
    <w:rsid w:val="00E208A8"/>
    <w:rPr>
      <w:rFonts w:ascii="Cambria" w:hAnsi="Cambria" w:cs="Cambria"/>
      <w:i/>
      <w:iCs/>
      <w:spacing w:val="5"/>
      <w:lang w:val="en-US" w:eastAsia="en-US"/>
    </w:rPr>
  </w:style>
  <w:style w:type="paragraph" w:customStyle="1" w:styleId="SCCLsocOtherPartyRoleSeparator">
    <w:name w:val="SCC.Lsoc.OtherPartyRoleSeparator"/>
    <w:basedOn w:val="Normal"/>
    <w:next w:val="Normal"/>
    <w:link w:val="SCCLsocOtherPartyRoleSeparatorChar"/>
    <w:rsid w:val="00E208A8"/>
    <w:pPr>
      <w:spacing w:after="480"/>
    </w:pPr>
    <w:rPr>
      <w:szCs w:val="24"/>
      <w:lang w:val="en-CA" w:eastAsia="en-US"/>
    </w:rPr>
  </w:style>
  <w:style w:type="character" w:customStyle="1" w:styleId="SCCLsocOtherPartyRoleSeparatorChar">
    <w:name w:val="SCC.Lsoc.OtherPartyRoleSeparator Char"/>
    <w:basedOn w:val="DefaultParagraphFont"/>
    <w:link w:val="SCCLsocOtherPartyRoleSeparator"/>
    <w:rsid w:val="00E208A8"/>
    <w:rPr>
      <w:sz w:val="24"/>
      <w:szCs w:val="24"/>
      <w:lang w:eastAsia="en-US"/>
    </w:rPr>
  </w:style>
  <w:style w:type="character" w:customStyle="1" w:styleId="SCCBanSummaryChar">
    <w:name w:val="SCC.BanSummary Char"/>
    <w:basedOn w:val="DefaultParagraphFont"/>
    <w:link w:val="SCCBanSummary"/>
    <w:rsid w:val="00E208A8"/>
    <w:rPr>
      <w:b/>
      <w:sz w:val="24"/>
      <w:lang w:val="fr-CA"/>
    </w:rPr>
  </w:style>
  <w:style w:type="table" w:styleId="TableGrid">
    <w:name w:val="Table Grid"/>
    <w:basedOn w:val="TableNormal"/>
    <w:uiPriority w:val="59"/>
    <w:rsid w:val="00E208A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2"/>
    <w:qFormat/>
    <w:rsid w:val="00E208A8"/>
    <w:pPr>
      <w:spacing w:after="720"/>
      <w:ind w:left="1166"/>
      <w:jc w:val="both"/>
    </w:pPr>
    <w:rPr>
      <w:sz w:val="24"/>
      <w:szCs w:val="24"/>
    </w:rPr>
  </w:style>
  <w:style w:type="paragraph" w:customStyle="1" w:styleId="ContinueParaSuitedupar-AltP">
    <w:name w:val="Continue Para. / Suite du par. - Alt P"/>
    <w:next w:val="ParaNoNdepar-AltN"/>
    <w:uiPriority w:val="1"/>
    <w:qFormat/>
    <w:rsid w:val="00E208A8"/>
    <w:pPr>
      <w:spacing w:before="480" w:after="480" w:line="480" w:lineRule="auto"/>
      <w:jc w:val="both"/>
    </w:pPr>
    <w:rPr>
      <w:sz w:val="24"/>
      <w:szCs w:val="24"/>
      <w:lang w:eastAsia="en-US"/>
    </w:rPr>
  </w:style>
  <w:style w:type="paragraph" w:customStyle="1" w:styleId="JudgeJuge">
    <w:name w:val="Judge / Juge"/>
    <w:uiPriority w:val="3"/>
    <w:rsid w:val="00E208A8"/>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E208A8"/>
    <w:pPr>
      <w:tabs>
        <w:tab w:val="left" w:pos="360"/>
      </w:tabs>
      <w:spacing w:before="480" w:after="480"/>
      <w:ind w:left="360" w:hanging="360"/>
      <w:jc w:val="both"/>
    </w:pPr>
    <w:rPr>
      <w:sz w:val="24"/>
      <w:szCs w:val="24"/>
      <w:lang w:eastAsia="en-US"/>
    </w:rPr>
  </w:style>
  <w:style w:type="paragraph" w:customStyle="1" w:styleId="InteriorQuote">
    <w:name w:val="Interior Quote"/>
    <w:basedOn w:val="Normal"/>
    <w:link w:val="InteriorQuoteChar"/>
    <w:uiPriority w:val="99"/>
    <w:rsid w:val="00445FD8"/>
    <w:pPr>
      <w:spacing w:before="200" w:after="240"/>
      <w:ind w:left="1440" w:right="851"/>
    </w:pPr>
    <w:rPr>
      <w:szCs w:val="24"/>
      <w:lang w:val="en-CA" w:eastAsia="en-US"/>
    </w:rPr>
  </w:style>
  <w:style w:type="character" w:customStyle="1" w:styleId="InteriorQuoteChar">
    <w:name w:val="Interior Quote Char"/>
    <w:basedOn w:val="DefaultParagraphFont"/>
    <w:link w:val="InteriorQuote"/>
    <w:uiPriority w:val="99"/>
    <w:rsid w:val="00445FD8"/>
    <w:rPr>
      <w:i/>
      <w:iCs/>
      <w:color w:val="000000" w:themeColor="text1"/>
      <w:sz w:val="24"/>
      <w:szCs w:val="24"/>
      <w:lang w:val="en-US" w:eastAsia="en-US"/>
    </w:rPr>
  </w:style>
  <w:style w:type="paragraph" w:styleId="NoSpacing">
    <w:name w:val="No Spacing"/>
    <w:aliases w:val="Cont. para"/>
    <w:basedOn w:val="Normal"/>
    <w:next w:val="Normal"/>
    <w:uiPriority w:val="99"/>
    <w:qFormat/>
    <w:rsid w:val="00E208A8"/>
    <w:pPr>
      <w:spacing w:after="240" w:line="480" w:lineRule="auto"/>
    </w:pPr>
    <w:rPr>
      <w:rFonts w:ascii="TimesNewRoman" w:hAnsi="TimesNewRoman" w:cs="TimesNewRoman"/>
      <w:szCs w:val="24"/>
      <w:lang w:val="en-US" w:eastAsia="en-US"/>
    </w:rPr>
  </w:style>
  <w:style w:type="character" w:styleId="Hyperlink">
    <w:name w:val="Hyperlink"/>
    <w:basedOn w:val="DefaultParagraphFont"/>
    <w:uiPriority w:val="99"/>
    <w:rsid w:val="00E208A8"/>
    <w:rPr>
      <w:color w:val="0000FF"/>
      <w:u w:val="single"/>
    </w:rPr>
  </w:style>
  <w:style w:type="character" w:customStyle="1" w:styleId="FootnoteTextChar">
    <w:name w:val="Footnote Text Char"/>
    <w:uiPriority w:val="99"/>
    <w:semiHidden/>
    <w:rsid w:val="00E208A8"/>
    <w:rPr>
      <w:rFonts w:eastAsia="Times New Roman"/>
      <w:sz w:val="22"/>
      <w:szCs w:val="22"/>
      <w:lang w:eastAsia="en-US"/>
    </w:rPr>
  </w:style>
  <w:style w:type="paragraph" w:styleId="FootnoteText">
    <w:name w:val="footnote text"/>
    <w:basedOn w:val="Normal"/>
    <w:link w:val="FootnoteTextChar1"/>
    <w:uiPriority w:val="99"/>
    <w:semiHidden/>
    <w:rsid w:val="00E208A8"/>
    <w:pPr>
      <w:spacing w:after="240" w:line="480" w:lineRule="auto"/>
      <w:ind w:firstLine="720"/>
    </w:pPr>
    <w:rPr>
      <w:sz w:val="22"/>
      <w:szCs w:val="22"/>
      <w:lang w:val="en-US" w:eastAsia="en-US"/>
    </w:rPr>
  </w:style>
  <w:style w:type="character" w:customStyle="1" w:styleId="FootnoteTextChar1">
    <w:name w:val="Footnote Text Char1"/>
    <w:basedOn w:val="DefaultParagraphFont"/>
    <w:link w:val="FootnoteText"/>
    <w:uiPriority w:val="99"/>
    <w:semiHidden/>
    <w:rsid w:val="00E208A8"/>
    <w:rPr>
      <w:sz w:val="22"/>
      <w:szCs w:val="22"/>
      <w:lang w:val="en-US" w:eastAsia="en-US"/>
    </w:rPr>
  </w:style>
  <w:style w:type="paragraph" w:customStyle="1" w:styleId="QuoteInterior">
    <w:name w:val="Quote (Interior)"/>
    <w:basedOn w:val="Normal"/>
    <w:link w:val="QuoteInteriorChar"/>
    <w:uiPriority w:val="99"/>
    <w:rsid w:val="00445FD8"/>
    <w:pPr>
      <w:spacing w:before="200" w:after="240"/>
      <w:ind w:left="1440" w:right="1123"/>
    </w:pPr>
    <w:rPr>
      <w:szCs w:val="24"/>
      <w:lang w:val="en-CA" w:eastAsia="en-US"/>
    </w:rPr>
  </w:style>
  <w:style w:type="character" w:customStyle="1" w:styleId="QuoteInteriorChar">
    <w:name w:val="Quote (Interior) Char"/>
    <w:basedOn w:val="DefaultParagraphFont"/>
    <w:link w:val="QuoteInterior"/>
    <w:uiPriority w:val="99"/>
    <w:rsid w:val="00445FD8"/>
    <w:rPr>
      <w:i/>
      <w:iCs/>
      <w:color w:val="000000" w:themeColor="text1"/>
      <w:sz w:val="24"/>
      <w:szCs w:val="24"/>
      <w:lang w:val="en-US" w:eastAsia="en-US"/>
    </w:rPr>
  </w:style>
  <w:style w:type="paragraph" w:styleId="ListParagraph">
    <w:name w:val="List Paragraph"/>
    <w:basedOn w:val="Normal"/>
    <w:uiPriority w:val="99"/>
    <w:qFormat/>
    <w:rsid w:val="00E208A8"/>
    <w:pPr>
      <w:numPr>
        <w:numId w:val="7"/>
      </w:numPr>
      <w:spacing w:after="240"/>
      <w:ind w:right="720"/>
    </w:pPr>
    <w:rPr>
      <w:szCs w:val="24"/>
      <w:lang w:val="en-CA" w:eastAsia="en-US"/>
    </w:rPr>
  </w:style>
  <w:style w:type="character" w:styleId="Emphasis">
    <w:name w:val="Emphasis"/>
    <w:basedOn w:val="DefaultParagraphFont"/>
    <w:uiPriority w:val="99"/>
    <w:qFormat/>
    <w:rsid w:val="00E208A8"/>
    <w:rPr>
      <w:b/>
      <w:bCs/>
      <w:i/>
      <w:iCs/>
      <w:spacing w:val="10"/>
      <w:shd w:val="clear" w:color="auto" w:fill="auto"/>
    </w:rPr>
  </w:style>
  <w:style w:type="paragraph" w:customStyle="1" w:styleId="para1">
    <w:name w:val="para1"/>
    <w:basedOn w:val="Normal"/>
    <w:uiPriority w:val="99"/>
    <w:rsid w:val="00E208A8"/>
    <w:pPr>
      <w:spacing w:before="120" w:line="360" w:lineRule="atLeast"/>
      <w:ind w:left="2640"/>
    </w:pPr>
    <w:rPr>
      <w:rFonts w:ascii="Verdana" w:hAnsi="Verdana" w:cs="Verdana"/>
      <w:szCs w:val="24"/>
      <w:lang w:val="en-US" w:eastAsia="en-US"/>
    </w:rPr>
  </w:style>
  <w:style w:type="paragraph" w:styleId="Revision">
    <w:name w:val="Revision"/>
    <w:hidden/>
    <w:uiPriority w:val="99"/>
    <w:semiHidden/>
    <w:rsid w:val="00E208A8"/>
    <w:rPr>
      <w:sz w:val="24"/>
      <w:szCs w:val="24"/>
    </w:rPr>
  </w:style>
  <w:style w:type="character" w:styleId="CommentReference">
    <w:name w:val="annotation reference"/>
    <w:basedOn w:val="DefaultParagraphFont"/>
    <w:uiPriority w:val="99"/>
    <w:semiHidden/>
    <w:unhideWhenUsed/>
    <w:rsid w:val="00E208A8"/>
    <w:rPr>
      <w:sz w:val="16"/>
      <w:szCs w:val="16"/>
    </w:rPr>
  </w:style>
  <w:style w:type="paragraph" w:styleId="CommentText">
    <w:name w:val="annotation text"/>
    <w:basedOn w:val="Normal"/>
    <w:link w:val="CommentTextChar"/>
    <w:uiPriority w:val="99"/>
    <w:semiHidden/>
    <w:unhideWhenUsed/>
    <w:rsid w:val="00E208A8"/>
    <w:rPr>
      <w:sz w:val="20"/>
      <w:lang w:val="en-CA"/>
    </w:rPr>
  </w:style>
  <w:style w:type="character" w:customStyle="1" w:styleId="CommentTextChar">
    <w:name w:val="Comment Text Char"/>
    <w:basedOn w:val="DefaultParagraphFont"/>
    <w:link w:val="CommentText"/>
    <w:uiPriority w:val="99"/>
    <w:semiHidden/>
    <w:rsid w:val="00E208A8"/>
  </w:style>
  <w:style w:type="paragraph" w:styleId="CommentSubject">
    <w:name w:val="annotation subject"/>
    <w:basedOn w:val="CommentText"/>
    <w:next w:val="CommentText"/>
    <w:link w:val="CommentSubjectChar"/>
    <w:uiPriority w:val="99"/>
    <w:semiHidden/>
    <w:unhideWhenUsed/>
    <w:rsid w:val="00E208A8"/>
    <w:rPr>
      <w:b/>
      <w:bCs/>
    </w:rPr>
  </w:style>
  <w:style w:type="character" w:customStyle="1" w:styleId="CommentSubjectChar">
    <w:name w:val="Comment Subject Char"/>
    <w:basedOn w:val="CommentTextChar"/>
    <w:link w:val="CommentSubject"/>
    <w:uiPriority w:val="99"/>
    <w:semiHidden/>
    <w:rsid w:val="00E208A8"/>
    <w:rPr>
      <w:b/>
      <w:bCs/>
    </w:rPr>
  </w:style>
  <w:style w:type="paragraph" w:customStyle="1" w:styleId="11">
    <w:name w:val="11"/>
    <w:basedOn w:val="Normal"/>
    <w:uiPriority w:val="99"/>
    <w:rsid w:val="00E208A8"/>
    <w:pPr>
      <w:autoSpaceDE w:val="0"/>
      <w:autoSpaceDN w:val="0"/>
      <w:ind w:hanging="720"/>
    </w:pPr>
    <w:rPr>
      <w:szCs w:val="24"/>
      <w:lang w:val="en-CA"/>
    </w:rPr>
  </w:style>
  <w:style w:type="paragraph" w:customStyle="1" w:styleId="SCCAppellantForRunningHead">
    <w:name w:val="SCC.AppellantForRunningHead"/>
    <w:basedOn w:val="Normal"/>
    <w:next w:val="Normal"/>
    <w:link w:val="SCCAppellantForRunningHeadChar"/>
    <w:rsid w:val="002B54B9"/>
    <w:rPr>
      <w:smallCaps/>
    </w:rPr>
  </w:style>
  <w:style w:type="character" w:customStyle="1" w:styleId="SCCAppellantForRunningHeadChar">
    <w:name w:val="SCC.AppellantForRunningHead Char"/>
    <w:basedOn w:val="DefaultParagraphFont"/>
    <w:link w:val="SCCAppellantForRunningHead"/>
    <w:rsid w:val="002B54B9"/>
    <w:rPr>
      <w:smallCaps/>
      <w:sz w:val="24"/>
      <w:lang w:val="fr-CA"/>
    </w:rPr>
  </w:style>
</w:styles>
</file>

<file path=word/webSettings.xml><?xml version="1.0" encoding="utf-8"?>
<w:webSettings xmlns:r="http://schemas.openxmlformats.org/officeDocument/2006/relationships" xmlns:w="http://schemas.openxmlformats.org/wordprocessingml/2006/main">
  <w:divs>
    <w:div w:id="654378680">
      <w:bodyDiv w:val="1"/>
      <w:marLeft w:val="0"/>
      <w:marRight w:val="0"/>
      <w:marTop w:val="0"/>
      <w:marBottom w:val="0"/>
      <w:divBdr>
        <w:top w:val="none" w:sz="0" w:space="0" w:color="auto"/>
        <w:left w:val="none" w:sz="0" w:space="0" w:color="auto"/>
        <w:bottom w:val="none" w:sz="0" w:space="0" w:color="auto"/>
        <w:right w:val="none" w:sz="0" w:space="0" w:color="auto"/>
      </w:divBdr>
      <w:divsChild>
        <w:div w:id="522211515">
          <w:marLeft w:val="63"/>
          <w:marRight w:val="63"/>
          <w:marTop w:val="0"/>
          <w:marBottom w:val="0"/>
          <w:divBdr>
            <w:top w:val="none" w:sz="0" w:space="0" w:color="auto"/>
            <w:left w:val="none" w:sz="0" w:space="0" w:color="auto"/>
            <w:bottom w:val="none" w:sz="0" w:space="0" w:color="auto"/>
            <w:right w:val="none" w:sz="0" w:space="0" w:color="auto"/>
          </w:divBdr>
          <w:divsChild>
            <w:div w:id="709301460">
              <w:marLeft w:val="0"/>
              <w:marRight w:val="0"/>
              <w:marTop w:val="0"/>
              <w:marBottom w:val="88"/>
              <w:divBdr>
                <w:top w:val="none" w:sz="0" w:space="0" w:color="auto"/>
                <w:left w:val="none" w:sz="0" w:space="0" w:color="auto"/>
                <w:bottom w:val="none" w:sz="0" w:space="0" w:color="auto"/>
                <w:right w:val="none" w:sz="0" w:space="0" w:color="auto"/>
              </w:divBdr>
              <w:divsChild>
                <w:div w:id="1446654363">
                  <w:marLeft w:val="0"/>
                  <w:marRight w:val="0"/>
                  <w:marTop w:val="88"/>
                  <w:marBottom w:val="0"/>
                  <w:divBdr>
                    <w:top w:val="none" w:sz="0" w:space="0" w:color="auto"/>
                    <w:left w:val="none" w:sz="0" w:space="0" w:color="auto"/>
                    <w:bottom w:val="none" w:sz="0" w:space="0" w:color="auto"/>
                    <w:right w:val="none" w:sz="0" w:space="0" w:color="auto"/>
                  </w:divBdr>
                  <w:divsChild>
                    <w:div w:id="2088185962">
                      <w:marLeft w:val="0"/>
                      <w:marRight w:val="0"/>
                      <w:marTop w:val="0"/>
                      <w:marBottom w:val="88"/>
                      <w:divBdr>
                        <w:top w:val="none" w:sz="0" w:space="0" w:color="auto"/>
                        <w:left w:val="none" w:sz="0" w:space="0" w:color="auto"/>
                        <w:bottom w:val="none" w:sz="0" w:space="0" w:color="auto"/>
                        <w:right w:val="none" w:sz="0" w:space="0" w:color="auto"/>
                      </w:divBdr>
                      <w:divsChild>
                        <w:div w:id="647395817">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1A42-ECBF-45F8-81C2-5513851B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17113</Words>
  <Characters>91980</Characters>
  <Application>Microsoft Office Word</Application>
  <DocSecurity>0</DocSecurity>
  <Lines>766</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2011-12-07T21:02:00Z</dcterms:created>
  <dcterms:modified xsi:type="dcterms:W3CDTF">2012-02-20T16:17:00Z</dcterms:modified>
</cp:coreProperties>
</file>