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A1" w:rsidRPr="00476FE4" w:rsidRDefault="005A65A1" w:rsidP="005A65A1">
      <w:pPr>
        <w:tabs>
          <w:tab w:val="center" w:pos="4680"/>
          <w:tab w:val="right" w:pos="9360"/>
        </w:tabs>
        <w:jc w:val="center"/>
        <w:rPr>
          <w:rFonts w:eastAsiaTheme="minorHAnsi" w:cstheme="minorBidi"/>
          <w:szCs w:val="24"/>
          <w:lang w:eastAsia="en-US"/>
        </w:rPr>
      </w:pPr>
      <w:r w:rsidRPr="00476FE4">
        <w:rPr>
          <w:rFonts w:eastAsiaTheme="minorHAnsi" w:cstheme="minorBidi"/>
          <w:szCs w:val="24"/>
          <w:lang w:eastAsia="en-US"/>
        </w:rPr>
        <w:object w:dxaOrig="1365" w:dyaOrig="1440">
          <v:shape id="_x0000_i1031" type="#_x0000_t75" style="width:61.2pt;height:64.8pt" o:ole="">
            <v:imagedata r:id="rId8" o:title=""/>
          </v:shape>
          <o:OLEObject Type="Embed" ProgID="Presentations.Drawing.13" ShapeID="_x0000_i1031" DrawAspect="Content" ObjectID="_1423303845" r:id="rId9"/>
        </w:object>
      </w:r>
    </w:p>
    <w:p w:rsidR="005A65A1" w:rsidRPr="00476FE4" w:rsidRDefault="005A65A1" w:rsidP="005A65A1">
      <w:pPr>
        <w:tabs>
          <w:tab w:val="center" w:pos="4680"/>
          <w:tab w:val="right" w:pos="9360"/>
        </w:tabs>
        <w:rPr>
          <w:rFonts w:eastAsiaTheme="minorHAnsi" w:cstheme="minorBidi"/>
          <w:szCs w:val="24"/>
          <w:lang w:eastAsia="en-US"/>
        </w:rPr>
      </w:pPr>
    </w:p>
    <w:p w:rsidR="005A65A1" w:rsidRPr="00476FE4" w:rsidRDefault="005A65A1" w:rsidP="005A65A1">
      <w:pPr>
        <w:jc w:val="center"/>
        <w:rPr>
          <w:rFonts w:eastAsiaTheme="minorHAnsi" w:cstheme="minorBidi"/>
          <w:b/>
          <w:szCs w:val="24"/>
          <w:lang w:eastAsia="en-US"/>
        </w:rPr>
      </w:pPr>
      <w:r w:rsidRPr="00476FE4">
        <w:rPr>
          <w:rFonts w:eastAsiaTheme="minorHAnsi" w:cstheme="minorBidi"/>
          <w:b/>
          <w:szCs w:val="24"/>
          <w:lang w:eastAsia="en-US"/>
        </w:rPr>
        <w:t>COUR SUPRÊME DU CANADA</w:t>
      </w:r>
    </w:p>
    <w:p w:rsidR="005A65A1" w:rsidRPr="00476FE4" w:rsidRDefault="005A65A1" w:rsidP="005A65A1">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A65A1" w:rsidRPr="00476FE4" w:rsidTr="00F9693C">
        <w:trPr>
          <w:cantSplit/>
        </w:trPr>
        <w:tc>
          <w:tcPr>
            <w:tcW w:w="6768" w:type="dxa"/>
          </w:tcPr>
          <w:p w:rsidR="005A65A1" w:rsidRPr="00476FE4" w:rsidRDefault="005A65A1" w:rsidP="00F9693C">
            <w:r w:rsidRPr="00476FE4">
              <w:rPr>
                <w:b/>
                <w:smallCaps/>
              </w:rPr>
              <w:t>Référence :</w:t>
            </w:r>
            <w:r w:rsidRPr="00476FE4">
              <w:t xml:space="preserve"> </w:t>
            </w:r>
            <w:r w:rsidRPr="00476FE4">
              <w:rPr>
                <w:iCs/>
              </w:rPr>
              <w:t xml:space="preserve">Entertainment Software Association </w:t>
            </w:r>
            <w:r w:rsidRPr="00476FE4">
              <w:rPr>
                <w:i/>
                <w:iCs/>
              </w:rPr>
              <w:t>c.</w:t>
            </w:r>
            <w:r w:rsidRPr="00476FE4">
              <w:rPr>
                <w:iCs/>
              </w:rPr>
              <w:t xml:space="preserve"> Société canadienne des auteurs, compositeurs et éditeurs de musique,</w:t>
            </w:r>
            <w:r w:rsidRPr="00476FE4">
              <w:t xml:space="preserve"> </w:t>
            </w:r>
          </w:p>
          <w:p w:rsidR="005A65A1" w:rsidRPr="00476FE4" w:rsidRDefault="005A65A1" w:rsidP="00F9693C">
            <w:r w:rsidRPr="00B64E6C">
              <w:t>2012 CSC 34, [2012] 2 R.C.S. 231</w:t>
            </w:r>
          </w:p>
        </w:tc>
        <w:tc>
          <w:tcPr>
            <w:tcW w:w="2808" w:type="dxa"/>
          </w:tcPr>
          <w:p w:rsidR="005A65A1" w:rsidRPr="00476FE4" w:rsidRDefault="005A65A1" w:rsidP="00F9693C">
            <w:r w:rsidRPr="00476FE4">
              <w:rPr>
                <w:b/>
                <w:smallCaps/>
              </w:rPr>
              <w:t>Date :</w:t>
            </w:r>
            <w:r w:rsidRPr="00476FE4">
              <w:t xml:space="preserve"> 20120712</w:t>
            </w:r>
          </w:p>
          <w:p w:rsidR="005A65A1" w:rsidRPr="00476FE4" w:rsidRDefault="005A65A1" w:rsidP="00F9693C">
            <w:r w:rsidRPr="00476FE4">
              <w:rPr>
                <w:b/>
                <w:smallCaps/>
              </w:rPr>
              <w:t>Dossier :</w:t>
            </w:r>
            <w:r w:rsidRPr="00476FE4">
              <w:t xml:space="preserve"> 33921</w:t>
            </w:r>
          </w:p>
        </w:tc>
      </w:tr>
    </w:tbl>
    <w:p w:rsidR="005A65A1" w:rsidRPr="00476FE4" w:rsidRDefault="005A65A1" w:rsidP="005A65A1">
      <w:pPr>
        <w:rPr>
          <w:rFonts w:eastAsiaTheme="minorHAnsi" w:cstheme="minorBidi"/>
          <w:szCs w:val="24"/>
          <w:lang w:eastAsia="en-US"/>
        </w:rPr>
      </w:pPr>
    </w:p>
    <w:p w:rsidR="005A65A1" w:rsidRPr="00476FE4" w:rsidRDefault="005A65A1" w:rsidP="005A65A1">
      <w:pPr>
        <w:rPr>
          <w:rFonts w:eastAsiaTheme="minorHAnsi" w:cstheme="minorBidi"/>
          <w:b/>
          <w:smallCaps/>
          <w:szCs w:val="24"/>
          <w:lang w:eastAsia="en-US"/>
        </w:rPr>
      </w:pPr>
      <w:r w:rsidRPr="00476FE4">
        <w:rPr>
          <w:rFonts w:eastAsiaTheme="minorHAnsi" w:cstheme="minorBidi"/>
          <w:b/>
          <w:smallCaps/>
          <w:szCs w:val="24"/>
          <w:lang w:eastAsia="en-US"/>
        </w:rPr>
        <w:t>Entre :</w:t>
      </w:r>
    </w:p>
    <w:p w:rsidR="005A65A1" w:rsidRPr="00476FE4" w:rsidRDefault="005A65A1" w:rsidP="005A65A1">
      <w:pPr>
        <w:jc w:val="center"/>
        <w:rPr>
          <w:rFonts w:eastAsiaTheme="minorHAnsi" w:cstheme="minorBidi"/>
          <w:b/>
          <w:szCs w:val="24"/>
          <w:lang w:eastAsia="en-US"/>
        </w:rPr>
      </w:pPr>
      <w:r w:rsidRPr="00476FE4">
        <w:rPr>
          <w:rFonts w:eastAsiaTheme="minorHAnsi"/>
          <w:b/>
          <w:iCs/>
        </w:rPr>
        <w:t>Entertainment Software Association et</w:t>
      </w:r>
      <w:r w:rsidRPr="00476FE4">
        <w:rPr>
          <w:rFonts w:eastAsiaTheme="minorHAnsi" w:cstheme="minorBidi"/>
          <w:b/>
          <w:szCs w:val="24"/>
          <w:lang w:eastAsia="en-US"/>
        </w:rPr>
        <w:t xml:space="preserve"> Association canadienne du logiciel de divertissement</w:t>
      </w:r>
    </w:p>
    <w:p w:rsidR="005A65A1" w:rsidRPr="00476FE4" w:rsidRDefault="005A65A1" w:rsidP="005A65A1">
      <w:pPr>
        <w:jc w:val="center"/>
        <w:rPr>
          <w:rFonts w:eastAsiaTheme="minorHAnsi" w:cstheme="minorBidi"/>
          <w:szCs w:val="24"/>
          <w:lang w:eastAsia="en-US"/>
        </w:rPr>
      </w:pPr>
      <w:r w:rsidRPr="00476FE4">
        <w:rPr>
          <w:rFonts w:eastAsiaTheme="minorHAnsi" w:cstheme="minorBidi"/>
          <w:szCs w:val="24"/>
          <w:lang w:eastAsia="en-US"/>
        </w:rPr>
        <w:t>Appelantes</w:t>
      </w:r>
    </w:p>
    <w:p w:rsidR="005A65A1" w:rsidRPr="00476FE4" w:rsidRDefault="005A65A1" w:rsidP="005A65A1">
      <w:pPr>
        <w:jc w:val="center"/>
        <w:rPr>
          <w:rFonts w:eastAsiaTheme="minorHAnsi" w:cstheme="minorBidi"/>
          <w:szCs w:val="24"/>
          <w:lang w:eastAsia="en-US"/>
        </w:rPr>
      </w:pPr>
      <w:proofErr w:type="gramStart"/>
      <w:r w:rsidRPr="00476FE4">
        <w:rPr>
          <w:rFonts w:eastAsiaTheme="minorHAnsi" w:cstheme="minorBidi"/>
          <w:szCs w:val="24"/>
          <w:lang w:eastAsia="en-US"/>
        </w:rPr>
        <w:t>et</w:t>
      </w:r>
      <w:proofErr w:type="gramEnd"/>
    </w:p>
    <w:p w:rsidR="005A65A1" w:rsidRPr="00476FE4" w:rsidRDefault="005A65A1" w:rsidP="005A65A1">
      <w:pPr>
        <w:jc w:val="center"/>
        <w:rPr>
          <w:rFonts w:eastAsiaTheme="minorHAnsi" w:cstheme="minorBidi"/>
          <w:b/>
          <w:szCs w:val="24"/>
          <w:lang w:eastAsia="en-US"/>
        </w:rPr>
      </w:pPr>
      <w:r w:rsidRPr="00476FE4">
        <w:rPr>
          <w:rFonts w:eastAsiaTheme="minorHAnsi" w:cstheme="minorBidi"/>
          <w:b/>
          <w:szCs w:val="24"/>
          <w:lang w:eastAsia="en-US"/>
        </w:rPr>
        <w:t>Société canadienne des auteurs, compositeurs et éditeurs de musique</w:t>
      </w:r>
    </w:p>
    <w:p w:rsidR="005A65A1" w:rsidRPr="00476FE4" w:rsidRDefault="005A65A1" w:rsidP="005A65A1">
      <w:pPr>
        <w:jc w:val="center"/>
        <w:rPr>
          <w:rFonts w:eastAsiaTheme="minorHAnsi" w:cstheme="minorBidi"/>
          <w:szCs w:val="24"/>
          <w:lang w:eastAsia="en-US"/>
        </w:rPr>
      </w:pPr>
      <w:r w:rsidRPr="00476FE4">
        <w:rPr>
          <w:rFonts w:eastAsiaTheme="minorHAnsi" w:cstheme="minorBidi"/>
          <w:szCs w:val="24"/>
          <w:lang w:eastAsia="en-US"/>
        </w:rPr>
        <w:t>Intimée</w:t>
      </w:r>
    </w:p>
    <w:p w:rsidR="005A65A1" w:rsidRPr="00476FE4" w:rsidRDefault="005A65A1" w:rsidP="005A65A1">
      <w:pPr>
        <w:jc w:val="center"/>
        <w:rPr>
          <w:rFonts w:eastAsiaTheme="minorHAnsi" w:cstheme="minorBidi"/>
          <w:szCs w:val="24"/>
          <w:lang w:eastAsia="en-US"/>
        </w:rPr>
      </w:pPr>
      <w:r w:rsidRPr="00476FE4">
        <w:rPr>
          <w:rFonts w:eastAsiaTheme="minorHAnsi" w:cstheme="minorBidi"/>
          <w:szCs w:val="24"/>
          <w:lang w:eastAsia="en-US"/>
        </w:rPr>
        <w:t>- et -</w:t>
      </w:r>
    </w:p>
    <w:p w:rsidR="005A65A1" w:rsidRPr="00476FE4" w:rsidRDefault="005A65A1" w:rsidP="005A65A1">
      <w:pPr>
        <w:jc w:val="center"/>
        <w:rPr>
          <w:rFonts w:eastAsiaTheme="minorHAnsi" w:cstheme="minorBidi"/>
          <w:b/>
          <w:szCs w:val="24"/>
          <w:lang w:eastAsia="en-US"/>
        </w:rPr>
      </w:pPr>
      <w:r w:rsidRPr="00476FE4">
        <w:rPr>
          <w:rFonts w:eastAsiaTheme="minorHAnsi" w:cstheme="minorBidi"/>
          <w:b/>
          <w:szCs w:val="24"/>
          <w:lang w:eastAsia="en-US"/>
        </w:rPr>
        <w:t>CMRRA-SODRAC Inc., Clinique d’intérêt public et de politique d’internet du Canada Samuelson-</w:t>
      </w:r>
      <w:proofErr w:type="spellStart"/>
      <w:r w:rsidRPr="00476FE4">
        <w:rPr>
          <w:rFonts w:eastAsiaTheme="minorHAnsi" w:cstheme="minorBidi"/>
          <w:b/>
          <w:szCs w:val="24"/>
          <w:lang w:eastAsia="en-US"/>
        </w:rPr>
        <w:t>Glushko</w:t>
      </w:r>
      <w:proofErr w:type="spellEnd"/>
      <w:r w:rsidRPr="00476FE4">
        <w:rPr>
          <w:rFonts w:eastAsiaTheme="minorHAnsi" w:cstheme="minorBidi"/>
          <w:b/>
          <w:szCs w:val="24"/>
          <w:lang w:eastAsia="en-US"/>
        </w:rPr>
        <w:t xml:space="preserve"> et </w:t>
      </w:r>
      <w:proofErr w:type="spellStart"/>
      <w:r w:rsidRPr="00476FE4">
        <w:rPr>
          <w:rFonts w:eastAsiaTheme="minorHAnsi" w:cstheme="minorBidi"/>
          <w:b/>
          <w:szCs w:val="24"/>
          <w:lang w:eastAsia="en-US"/>
        </w:rPr>
        <w:t>Cineplex</w:t>
      </w:r>
      <w:proofErr w:type="spellEnd"/>
      <w:r w:rsidRPr="00476FE4">
        <w:rPr>
          <w:rFonts w:eastAsiaTheme="minorHAnsi" w:cstheme="minorBidi"/>
          <w:b/>
          <w:szCs w:val="24"/>
          <w:lang w:eastAsia="en-US"/>
        </w:rPr>
        <w:t xml:space="preserve"> Divertissement LP</w:t>
      </w:r>
    </w:p>
    <w:p w:rsidR="005A65A1" w:rsidRPr="00476FE4" w:rsidRDefault="005A65A1" w:rsidP="005A65A1">
      <w:pPr>
        <w:jc w:val="center"/>
        <w:rPr>
          <w:rFonts w:eastAsiaTheme="minorHAnsi" w:cstheme="minorBidi"/>
          <w:szCs w:val="24"/>
          <w:lang w:eastAsia="en-US"/>
        </w:rPr>
      </w:pPr>
      <w:r w:rsidRPr="00476FE4">
        <w:rPr>
          <w:rFonts w:eastAsiaTheme="minorHAnsi" w:cstheme="minorBidi"/>
          <w:szCs w:val="24"/>
          <w:lang w:eastAsia="en-US"/>
        </w:rPr>
        <w:t>Intervenantes</w:t>
      </w:r>
    </w:p>
    <w:p w:rsidR="005A65A1" w:rsidRPr="00476FE4" w:rsidRDefault="005A65A1" w:rsidP="005A65A1">
      <w:pPr>
        <w:rPr>
          <w:rFonts w:eastAsiaTheme="minorHAnsi" w:cstheme="minorBidi"/>
          <w:szCs w:val="24"/>
          <w:lang w:eastAsia="en-US"/>
        </w:rPr>
      </w:pPr>
    </w:p>
    <w:p w:rsidR="005A65A1" w:rsidRPr="00476FE4" w:rsidRDefault="005A65A1" w:rsidP="005A65A1">
      <w:pPr>
        <w:rPr>
          <w:rFonts w:eastAsiaTheme="minorHAnsi" w:cstheme="minorBidi"/>
          <w:szCs w:val="24"/>
          <w:lang w:eastAsia="en-US"/>
        </w:rPr>
      </w:pPr>
    </w:p>
    <w:p w:rsidR="005A65A1" w:rsidRPr="00476FE4" w:rsidRDefault="005A65A1" w:rsidP="005A65A1">
      <w:pPr>
        <w:jc w:val="center"/>
        <w:rPr>
          <w:rFonts w:eastAsiaTheme="minorHAnsi" w:cstheme="minorBidi"/>
          <w:b/>
          <w:smallCaps/>
          <w:szCs w:val="24"/>
          <w:lang w:eastAsia="en-US"/>
        </w:rPr>
      </w:pPr>
      <w:r w:rsidRPr="00476FE4">
        <w:rPr>
          <w:rFonts w:eastAsiaTheme="minorHAnsi" w:cstheme="minorBidi"/>
          <w:b/>
          <w:smallCaps/>
          <w:szCs w:val="24"/>
          <w:lang w:eastAsia="en-US"/>
        </w:rPr>
        <w:t>Traduction française officielle</w:t>
      </w:r>
    </w:p>
    <w:p w:rsidR="005A65A1" w:rsidRPr="00476FE4" w:rsidRDefault="005A65A1" w:rsidP="005A65A1">
      <w:pPr>
        <w:rPr>
          <w:rFonts w:eastAsiaTheme="minorHAnsi" w:cstheme="minorBidi"/>
          <w:szCs w:val="24"/>
          <w:lang w:eastAsia="en-US"/>
        </w:rPr>
      </w:pPr>
    </w:p>
    <w:p w:rsidR="005A65A1" w:rsidRPr="00476FE4" w:rsidRDefault="005A65A1" w:rsidP="005A65A1">
      <w:pPr>
        <w:rPr>
          <w:rFonts w:eastAsiaTheme="minorHAnsi" w:cstheme="minorBidi"/>
          <w:szCs w:val="24"/>
          <w:lang w:eastAsia="en-US"/>
        </w:rPr>
      </w:pPr>
      <w:r w:rsidRPr="00476FE4">
        <w:rPr>
          <w:rFonts w:eastAsiaTheme="minorHAnsi" w:cstheme="minorBidi"/>
          <w:b/>
          <w:smallCaps/>
          <w:szCs w:val="24"/>
          <w:lang w:eastAsia="en-US"/>
        </w:rPr>
        <w:t>Coram :</w:t>
      </w:r>
      <w:r w:rsidRPr="00476FE4">
        <w:rPr>
          <w:rFonts w:eastAsiaTheme="minorHAnsi" w:cstheme="minorBidi"/>
          <w:szCs w:val="24"/>
          <w:lang w:eastAsia="en-US"/>
        </w:rPr>
        <w:t xml:space="preserve"> La juge en chef </w:t>
      </w:r>
      <w:proofErr w:type="spellStart"/>
      <w:r w:rsidRPr="00476FE4">
        <w:rPr>
          <w:rFonts w:eastAsiaTheme="minorHAnsi" w:cstheme="minorBidi"/>
          <w:szCs w:val="24"/>
          <w:lang w:eastAsia="en-US"/>
        </w:rPr>
        <w:t>McLachlin</w:t>
      </w:r>
      <w:proofErr w:type="spellEnd"/>
      <w:r w:rsidRPr="00476FE4">
        <w:rPr>
          <w:rFonts w:eastAsiaTheme="minorHAnsi" w:cstheme="minorBidi"/>
          <w:szCs w:val="24"/>
          <w:lang w:eastAsia="en-US"/>
        </w:rPr>
        <w:t xml:space="preserve"> et les juges </w:t>
      </w:r>
      <w:proofErr w:type="spellStart"/>
      <w:r w:rsidRPr="00476FE4">
        <w:rPr>
          <w:rFonts w:eastAsiaTheme="minorHAnsi" w:cstheme="minorBidi"/>
          <w:szCs w:val="24"/>
          <w:lang w:eastAsia="en-US"/>
        </w:rPr>
        <w:t>LeBel</w:t>
      </w:r>
      <w:proofErr w:type="spellEnd"/>
      <w:r w:rsidRPr="00476FE4">
        <w:rPr>
          <w:rFonts w:eastAsiaTheme="minorHAnsi" w:cstheme="minorBidi"/>
          <w:szCs w:val="24"/>
          <w:lang w:eastAsia="en-US"/>
        </w:rPr>
        <w:t xml:space="preserve">, Deschamps, Fish, Abella, </w:t>
      </w:r>
      <w:proofErr w:type="spellStart"/>
      <w:r w:rsidRPr="00476FE4">
        <w:rPr>
          <w:rFonts w:eastAsiaTheme="minorHAnsi" w:cstheme="minorBidi"/>
          <w:szCs w:val="24"/>
          <w:lang w:eastAsia="en-US"/>
        </w:rPr>
        <w:t>Rothstein</w:t>
      </w:r>
      <w:proofErr w:type="spellEnd"/>
      <w:r w:rsidRPr="00476FE4">
        <w:rPr>
          <w:rFonts w:eastAsiaTheme="minorHAnsi" w:cstheme="minorBidi"/>
          <w:szCs w:val="24"/>
          <w:lang w:eastAsia="en-US"/>
        </w:rPr>
        <w:t xml:space="preserve">, Cromwell, </w:t>
      </w:r>
      <w:proofErr w:type="spellStart"/>
      <w:r w:rsidRPr="00476FE4">
        <w:rPr>
          <w:rFonts w:eastAsiaTheme="minorHAnsi" w:cstheme="minorBidi"/>
          <w:szCs w:val="24"/>
          <w:lang w:eastAsia="en-US"/>
        </w:rPr>
        <w:t>Moldaver</w:t>
      </w:r>
      <w:proofErr w:type="spellEnd"/>
      <w:r w:rsidRPr="00476FE4">
        <w:rPr>
          <w:rFonts w:eastAsiaTheme="minorHAnsi" w:cstheme="minorBidi"/>
          <w:szCs w:val="24"/>
          <w:lang w:eastAsia="en-US"/>
        </w:rPr>
        <w:t xml:space="preserve"> et </w:t>
      </w:r>
      <w:proofErr w:type="spellStart"/>
      <w:r w:rsidRPr="00476FE4">
        <w:rPr>
          <w:rFonts w:eastAsiaTheme="minorHAnsi" w:cstheme="minorBidi"/>
          <w:szCs w:val="24"/>
          <w:lang w:eastAsia="en-US"/>
        </w:rPr>
        <w:t>Karakatsanis</w:t>
      </w:r>
      <w:proofErr w:type="spellEnd"/>
    </w:p>
    <w:p w:rsidR="005A65A1" w:rsidRPr="00476FE4" w:rsidRDefault="005A65A1" w:rsidP="005A65A1">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A65A1" w:rsidRPr="00476FE4" w:rsidTr="00F9693C">
        <w:trPr>
          <w:cantSplit/>
        </w:trPr>
        <w:tc>
          <w:tcPr>
            <w:tcW w:w="3618" w:type="dxa"/>
          </w:tcPr>
          <w:p w:rsidR="005A65A1" w:rsidRPr="00476FE4" w:rsidRDefault="005A65A1" w:rsidP="00F9693C">
            <w:pPr>
              <w:rPr>
                <w:b/>
                <w:smallCaps/>
              </w:rPr>
            </w:pPr>
            <w:r w:rsidRPr="00476FE4">
              <w:rPr>
                <w:b/>
                <w:smallCaps/>
              </w:rPr>
              <w:t>Motifs de jugement conjoints :</w:t>
            </w:r>
          </w:p>
          <w:p w:rsidR="005A65A1" w:rsidRPr="00476FE4" w:rsidRDefault="005A65A1" w:rsidP="00F9693C">
            <w:pPr>
              <w:rPr>
                <w:b/>
                <w:smallCaps/>
              </w:rPr>
            </w:pPr>
            <w:r w:rsidRPr="00476FE4">
              <w:t>(par. 1 à 44)</w:t>
            </w:r>
          </w:p>
          <w:p w:rsidR="005A65A1" w:rsidRPr="00476FE4" w:rsidRDefault="005A65A1" w:rsidP="00F9693C"/>
          <w:p w:rsidR="005A65A1" w:rsidRPr="00476FE4" w:rsidRDefault="005A65A1" w:rsidP="00F9693C">
            <w:pPr>
              <w:rPr>
                <w:b/>
                <w:smallCaps/>
              </w:rPr>
            </w:pPr>
            <w:r w:rsidRPr="00476FE4">
              <w:rPr>
                <w:b/>
                <w:smallCaps/>
              </w:rPr>
              <w:t>Motifs dissidents :</w:t>
            </w:r>
          </w:p>
          <w:p w:rsidR="005A65A1" w:rsidRPr="00476FE4" w:rsidRDefault="005A65A1" w:rsidP="00F9693C">
            <w:r w:rsidRPr="00476FE4">
              <w:t>(par. 45 à 128)</w:t>
            </w:r>
          </w:p>
        </w:tc>
        <w:tc>
          <w:tcPr>
            <w:tcW w:w="5958" w:type="dxa"/>
          </w:tcPr>
          <w:p w:rsidR="005A65A1" w:rsidRPr="00476FE4" w:rsidRDefault="005A65A1" w:rsidP="00F9693C">
            <w:r w:rsidRPr="00476FE4">
              <w:t xml:space="preserve">Les juges Abella et </w:t>
            </w:r>
            <w:proofErr w:type="spellStart"/>
            <w:r w:rsidRPr="00476FE4">
              <w:t>Moldaver</w:t>
            </w:r>
            <w:proofErr w:type="spellEnd"/>
            <w:r w:rsidRPr="00476FE4">
              <w:t xml:space="preserve"> (avec l’accord de la juge en chef </w:t>
            </w:r>
            <w:proofErr w:type="spellStart"/>
            <w:r w:rsidRPr="00476FE4">
              <w:t>McLachlin</w:t>
            </w:r>
            <w:proofErr w:type="spellEnd"/>
            <w:r w:rsidRPr="00476FE4">
              <w:t xml:space="preserve"> et des juges Deschamps et </w:t>
            </w:r>
            <w:proofErr w:type="spellStart"/>
            <w:r w:rsidRPr="00476FE4">
              <w:t>Karakatsanis</w:t>
            </w:r>
            <w:proofErr w:type="spellEnd"/>
            <w:r w:rsidRPr="00476FE4">
              <w:t>)</w:t>
            </w:r>
          </w:p>
          <w:p w:rsidR="005A65A1" w:rsidRPr="00476FE4" w:rsidRDefault="005A65A1" w:rsidP="00F9693C"/>
          <w:p w:rsidR="005A65A1" w:rsidRPr="00476FE4" w:rsidRDefault="005A65A1" w:rsidP="00F9693C"/>
          <w:p w:rsidR="005A65A1" w:rsidRPr="00476FE4" w:rsidRDefault="005A65A1" w:rsidP="00F9693C">
            <w:r w:rsidRPr="00476FE4">
              <w:t xml:space="preserve">Le juge </w:t>
            </w:r>
            <w:proofErr w:type="spellStart"/>
            <w:r w:rsidRPr="00476FE4">
              <w:t>Rothstein</w:t>
            </w:r>
            <w:proofErr w:type="spellEnd"/>
            <w:r w:rsidRPr="00476FE4">
              <w:t xml:space="preserve"> (avec l’accord des juges </w:t>
            </w:r>
            <w:proofErr w:type="spellStart"/>
            <w:r w:rsidRPr="00476FE4">
              <w:t>LeBel</w:t>
            </w:r>
            <w:proofErr w:type="spellEnd"/>
            <w:r w:rsidRPr="00476FE4">
              <w:t>, Fish et Cromwell)</w:t>
            </w:r>
          </w:p>
        </w:tc>
      </w:tr>
    </w:tbl>
    <w:p w:rsidR="005A65A1" w:rsidRPr="00476FE4" w:rsidRDefault="005A65A1" w:rsidP="005A65A1">
      <w:pPr>
        <w:rPr>
          <w:rFonts w:eastAsiaTheme="minorHAnsi" w:cstheme="minorBidi"/>
          <w:szCs w:val="24"/>
          <w:lang w:eastAsia="en-US"/>
        </w:rPr>
      </w:pPr>
    </w:p>
    <w:p w:rsidR="005A65A1" w:rsidRPr="00476FE4" w:rsidRDefault="005A65A1" w:rsidP="005A65A1">
      <w:pPr>
        <w:rPr>
          <w:rFonts w:eastAsiaTheme="minorHAnsi" w:cstheme="minorBidi"/>
          <w:szCs w:val="24"/>
          <w:lang w:eastAsia="en-US"/>
        </w:rPr>
      </w:pPr>
    </w:p>
    <w:p w:rsidR="005A65A1" w:rsidRPr="00476FE4" w:rsidRDefault="005A65A1" w:rsidP="005A65A1">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2" type="#_x0000_t32" style="position:absolute;margin-left:126.75pt;margin-top:14.5pt;width:197.25pt;height:0;z-index:251658240" o:connectortype="straight"/>
        </w:pict>
      </w:r>
    </w:p>
    <w:p w:rsidR="005A65A1" w:rsidRPr="00476FE4" w:rsidRDefault="005A65A1" w:rsidP="005A65A1">
      <w:pPr>
        <w:rPr>
          <w:smallCaps/>
          <w:szCs w:val="24"/>
        </w:rPr>
      </w:pPr>
      <w:r w:rsidRPr="00476FE4">
        <w:rPr>
          <w:smallCaps/>
          <w:szCs w:val="24"/>
        </w:rPr>
        <w:br w:type="page"/>
      </w:r>
    </w:p>
    <w:p w:rsidR="008322BD" w:rsidRPr="00B64E6C" w:rsidRDefault="00B64E6C" w:rsidP="0010710D">
      <w:pPr>
        <w:spacing w:after="720"/>
        <w:jc w:val="both"/>
        <w:rPr>
          <w:smallCaps/>
          <w:szCs w:val="24"/>
        </w:rPr>
      </w:pPr>
      <w:r w:rsidRPr="00B64E6C">
        <w:rPr>
          <w:szCs w:val="24"/>
        </w:rPr>
        <w:lastRenderedPageBreak/>
        <w:t xml:space="preserve">Entertainment Software Association </w:t>
      </w:r>
      <w:r w:rsidRPr="00B64E6C">
        <w:rPr>
          <w:i/>
          <w:szCs w:val="24"/>
        </w:rPr>
        <w:t>c.</w:t>
      </w:r>
      <w:r w:rsidRPr="00B64E6C">
        <w:rPr>
          <w:szCs w:val="24"/>
        </w:rPr>
        <w:t xml:space="preserve"> Société canadienne des auteurs, compositeurs et éditeurs de musique, 2012 CSC 34, [2012] 2 R.C.S. 231</w:t>
      </w:r>
    </w:p>
    <w:p w:rsidR="00C84697" w:rsidRPr="00922A86" w:rsidRDefault="00CF3BB3">
      <w:pPr>
        <w:pStyle w:val="SCCLsocParty"/>
        <w:rPr>
          <w:szCs w:val="24"/>
        </w:rPr>
      </w:pPr>
      <w:r w:rsidRPr="00922A86">
        <w:rPr>
          <w:szCs w:val="24"/>
        </w:rPr>
        <w:t>Entertainment Software Association et</w:t>
      </w:r>
      <w:r w:rsidR="00C87095" w:rsidRPr="00922A86">
        <w:rPr>
          <w:szCs w:val="24"/>
        </w:rPr>
        <w:t xml:space="preserve"> </w:t>
      </w:r>
    </w:p>
    <w:p w:rsidR="0010710D" w:rsidRPr="00922A86" w:rsidRDefault="00C87095" w:rsidP="0010710D">
      <w:pPr>
        <w:pStyle w:val="SCCLsocParty"/>
        <w:tabs>
          <w:tab w:val="right" w:pos="8280"/>
        </w:tabs>
        <w:spacing w:after="720"/>
        <w:rPr>
          <w:b w:val="0"/>
          <w:i/>
          <w:szCs w:val="24"/>
        </w:rPr>
      </w:pPr>
      <w:r w:rsidRPr="00922A86">
        <w:rPr>
          <w:szCs w:val="24"/>
        </w:rPr>
        <w:t>Association canadienne du logiciel de divertissement</w:t>
      </w:r>
      <w:r w:rsidR="003651ED" w:rsidRPr="00922A86">
        <w:rPr>
          <w:szCs w:val="24"/>
        </w:rPr>
        <w:tab/>
      </w:r>
      <w:r w:rsidRPr="00922A86">
        <w:rPr>
          <w:b w:val="0"/>
          <w:i/>
          <w:szCs w:val="24"/>
        </w:rPr>
        <w:t>Appelantes</w:t>
      </w:r>
    </w:p>
    <w:p w:rsidR="0010710D" w:rsidRPr="00922A86" w:rsidRDefault="00C87095" w:rsidP="0010710D">
      <w:pPr>
        <w:pStyle w:val="SCCLsocVersus"/>
        <w:spacing w:after="720"/>
        <w:rPr>
          <w:szCs w:val="24"/>
        </w:rPr>
      </w:pPr>
      <w:proofErr w:type="gramStart"/>
      <w:r w:rsidRPr="00922A86">
        <w:rPr>
          <w:szCs w:val="24"/>
        </w:rPr>
        <w:t>c</w:t>
      </w:r>
      <w:proofErr w:type="gramEnd"/>
      <w:r w:rsidRPr="00922A86">
        <w:rPr>
          <w:szCs w:val="24"/>
        </w:rPr>
        <w:t>.</w:t>
      </w:r>
    </w:p>
    <w:p w:rsidR="0010710D" w:rsidRPr="00922A86" w:rsidRDefault="00C87095" w:rsidP="0010710D">
      <w:pPr>
        <w:pStyle w:val="SCCLsocParty"/>
        <w:tabs>
          <w:tab w:val="right" w:pos="8280"/>
        </w:tabs>
        <w:spacing w:after="720"/>
        <w:rPr>
          <w:b w:val="0"/>
          <w:i/>
          <w:szCs w:val="24"/>
        </w:rPr>
      </w:pPr>
      <w:r w:rsidRPr="00922A86">
        <w:rPr>
          <w:szCs w:val="24"/>
        </w:rPr>
        <w:t>Société canadienne des auteurs, compositeurs et éditeurs de musique</w:t>
      </w:r>
      <w:r w:rsidR="003651ED" w:rsidRPr="00922A86">
        <w:rPr>
          <w:szCs w:val="24"/>
        </w:rPr>
        <w:tab/>
      </w:r>
      <w:r w:rsidRPr="00922A86">
        <w:rPr>
          <w:b w:val="0"/>
          <w:i/>
          <w:szCs w:val="24"/>
        </w:rPr>
        <w:t>Intimée</w:t>
      </w:r>
    </w:p>
    <w:p w:rsidR="0010710D" w:rsidRPr="00922A86" w:rsidRDefault="0010710D" w:rsidP="0010710D">
      <w:pPr>
        <w:pStyle w:val="SCCLsocOtherPartySeparator"/>
        <w:spacing w:after="720"/>
        <w:rPr>
          <w:szCs w:val="24"/>
        </w:rPr>
      </w:pPr>
      <w:proofErr w:type="gramStart"/>
      <w:r w:rsidRPr="00922A86">
        <w:rPr>
          <w:szCs w:val="24"/>
        </w:rPr>
        <w:t>e</w:t>
      </w:r>
      <w:r w:rsidR="003651ED" w:rsidRPr="00922A86">
        <w:rPr>
          <w:szCs w:val="24"/>
        </w:rPr>
        <w:t>t</w:t>
      </w:r>
      <w:proofErr w:type="gramEnd"/>
    </w:p>
    <w:p w:rsidR="000410FB" w:rsidRPr="00922A86" w:rsidRDefault="00CF3BB3">
      <w:pPr>
        <w:pStyle w:val="SCCLsocParty"/>
        <w:rPr>
          <w:szCs w:val="24"/>
        </w:rPr>
      </w:pPr>
      <w:r w:rsidRPr="00922A86">
        <w:rPr>
          <w:szCs w:val="24"/>
        </w:rPr>
        <w:t>CMRRA</w:t>
      </w:r>
      <w:r w:rsidR="002F38C1">
        <w:rPr>
          <w:szCs w:val="24"/>
        </w:rPr>
        <w:t>-</w:t>
      </w:r>
      <w:r w:rsidR="00C87095" w:rsidRPr="00922A86">
        <w:rPr>
          <w:szCs w:val="24"/>
        </w:rPr>
        <w:t>SODRAC Inc., Clinique d</w:t>
      </w:r>
      <w:r w:rsidR="00951CA2">
        <w:rPr>
          <w:szCs w:val="24"/>
        </w:rPr>
        <w:t>’</w:t>
      </w:r>
      <w:r w:rsidR="00C87095" w:rsidRPr="00922A86">
        <w:rPr>
          <w:szCs w:val="24"/>
        </w:rPr>
        <w:t>in</w:t>
      </w:r>
      <w:r w:rsidRPr="00922A86">
        <w:rPr>
          <w:szCs w:val="24"/>
        </w:rPr>
        <w:t xml:space="preserve">térêt public et de </w:t>
      </w:r>
    </w:p>
    <w:p w:rsidR="000410FB" w:rsidRPr="00922A86" w:rsidRDefault="00CF3BB3">
      <w:pPr>
        <w:pStyle w:val="SCCLsocParty"/>
        <w:rPr>
          <w:szCs w:val="24"/>
        </w:rPr>
      </w:pPr>
      <w:proofErr w:type="gramStart"/>
      <w:r w:rsidRPr="00922A86">
        <w:rPr>
          <w:szCs w:val="24"/>
        </w:rPr>
        <w:t>politique</w:t>
      </w:r>
      <w:proofErr w:type="gramEnd"/>
      <w:r w:rsidRPr="00922A86">
        <w:rPr>
          <w:szCs w:val="24"/>
        </w:rPr>
        <w:t xml:space="preserve"> d</w:t>
      </w:r>
      <w:r w:rsidR="00951CA2">
        <w:rPr>
          <w:szCs w:val="24"/>
        </w:rPr>
        <w:t>’</w:t>
      </w:r>
      <w:r w:rsidR="00E17480" w:rsidRPr="00922A86">
        <w:rPr>
          <w:szCs w:val="24"/>
        </w:rPr>
        <w:t>i</w:t>
      </w:r>
      <w:r w:rsidR="00C87095" w:rsidRPr="00922A86">
        <w:rPr>
          <w:szCs w:val="24"/>
        </w:rPr>
        <w:t>nternet du Canada Samuelson</w:t>
      </w:r>
      <w:r w:rsidR="002F38C1">
        <w:rPr>
          <w:szCs w:val="24"/>
        </w:rPr>
        <w:t>-</w:t>
      </w:r>
      <w:proofErr w:type="spellStart"/>
      <w:r w:rsidR="00C87095" w:rsidRPr="00922A86">
        <w:rPr>
          <w:szCs w:val="24"/>
        </w:rPr>
        <w:t>Glushko</w:t>
      </w:r>
      <w:proofErr w:type="spellEnd"/>
      <w:r w:rsidRPr="00922A86">
        <w:rPr>
          <w:szCs w:val="24"/>
        </w:rPr>
        <w:t xml:space="preserve"> et</w:t>
      </w:r>
      <w:r w:rsidR="00C87095" w:rsidRPr="00922A86">
        <w:rPr>
          <w:szCs w:val="24"/>
        </w:rPr>
        <w:t xml:space="preserve"> </w:t>
      </w:r>
    </w:p>
    <w:p w:rsidR="00C84697" w:rsidRPr="00922A86" w:rsidRDefault="00C87095" w:rsidP="0010710D">
      <w:pPr>
        <w:pStyle w:val="SCCLsocParty"/>
        <w:tabs>
          <w:tab w:val="right" w:pos="8280"/>
        </w:tabs>
        <w:spacing w:after="720"/>
        <w:rPr>
          <w:szCs w:val="24"/>
        </w:rPr>
      </w:pPr>
      <w:proofErr w:type="spellStart"/>
      <w:r w:rsidRPr="00922A86">
        <w:rPr>
          <w:szCs w:val="24"/>
        </w:rPr>
        <w:t>Cineplex</w:t>
      </w:r>
      <w:proofErr w:type="spellEnd"/>
      <w:r w:rsidRPr="00922A86">
        <w:rPr>
          <w:szCs w:val="24"/>
        </w:rPr>
        <w:t xml:space="preserve"> </w:t>
      </w:r>
      <w:r w:rsidR="002D013B" w:rsidRPr="00922A86">
        <w:rPr>
          <w:szCs w:val="24"/>
        </w:rPr>
        <w:t>Divertissement</w:t>
      </w:r>
      <w:r w:rsidRPr="00922A86">
        <w:rPr>
          <w:szCs w:val="24"/>
        </w:rPr>
        <w:t xml:space="preserve"> LP</w:t>
      </w:r>
      <w:r w:rsidR="000410FB" w:rsidRPr="00922A86">
        <w:rPr>
          <w:szCs w:val="24"/>
        </w:rPr>
        <w:tab/>
      </w:r>
      <w:r w:rsidRPr="00922A86">
        <w:rPr>
          <w:b w:val="0"/>
          <w:i/>
          <w:szCs w:val="24"/>
        </w:rPr>
        <w:t>Intervenantes</w:t>
      </w:r>
    </w:p>
    <w:p w:rsidR="00426659" w:rsidRPr="00922A86" w:rsidRDefault="0043088E" w:rsidP="0010710D">
      <w:pPr>
        <w:spacing w:after="720"/>
        <w:jc w:val="both"/>
        <w:rPr>
          <w:b/>
          <w:szCs w:val="24"/>
        </w:rPr>
      </w:pPr>
      <w:r w:rsidRPr="00922A86">
        <w:rPr>
          <w:b/>
          <w:szCs w:val="24"/>
        </w:rPr>
        <w:t>Répertorié</w:t>
      </w:r>
      <w:r w:rsidR="0010710D" w:rsidRPr="00922A86">
        <w:rPr>
          <w:b/>
          <w:szCs w:val="24"/>
        </w:rPr>
        <w:t> :</w:t>
      </w:r>
      <w:r w:rsidR="00C67CA5" w:rsidRPr="00922A86">
        <w:rPr>
          <w:b/>
          <w:szCs w:val="24"/>
        </w:rPr>
        <w:t> </w:t>
      </w:r>
      <w:r w:rsidR="00CF3BB3" w:rsidRPr="00922A86">
        <w:rPr>
          <w:b/>
          <w:szCs w:val="24"/>
        </w:rPr>
        <w:t xml:space="preserve">Entertainment Software Association </w:t>
      </w:r>
      <w:r w:rsidR="00645057" w:rsidRPr="00922A86">
        <w:rPr>
          <w:b/>
          <w:i/>
          <w:szCs w:val="24"/>
        </w:rPr>
        <w:t>c</w:t>
      </w:r>
      <w:r w:rsidR="00426659" w:rsidRPr="00922A86">
        <w:rPr>
          <w:b/>
          <w:i/>
          <w:szCs w:val="24"/>
        </w:rPr>
        <w:t>.</w:t>
      </w:r>
      <w:r w:rsidR="00426659" w:rsidRPr="00922A86">
        <w:rPr>
          <w:b/>
          <w:szCs w:val="24"/>
        </w:rPr>
        <w:t xml:space="preserve"> </w:t>
      </w:r>
      <w:r w:rsidR="00CF3BB3" w:rsidRPr="003E22BD">
        <w:rPr>
          <w:b/>
          <w:szCs w:val="24"/>
        </w:rPr>
        <w:t>Société canadienne des auteurs, compositeurs et éditeurs de musique</w:t>
      </w:r>
    </w:p>
    <w:p w:rsidR="00426659" w:rsidRPr="00922A86" w:rsidRDefault="00C0663B" w:rsidP="0010710D">
      <w:pPr>
        <w:pStyle w:val="SCCSystemYear"/>
        <w:spacing w:after="720"/>
        <w:jc w:val="both"/>
        <w:rPr>
          <w:szCs w:val="24"/>
        </w:rPr>
      </w:pPr>
      <w:r w:rsidRPr="00922A86">
        <w:rPr>
          <w:szCs w:val="24"/>
        </w:rPr>
        <w:t>2012</w:t>
      </w:r>
      <w:r w:rsidR="00EE0FAF" w:rsidRPr="00922A86">
        <w:rPr>
          <w:szCs w:val="24"/>
        </w:rPr>
        <w:t xml:space="preserve"> </w:t>
      </w:r>
      <w:r w:rsidR="00C71F58" w:rsidRPr="00922A86">
        <w:rPr>
          <w:szCs w:val="24"/>
        </w:rPr>
        <w:t>C</w:t>
      </w:r>
      <w:r w:rsidR="00426659" w:rsidRPr="00922A86">
        <w:rPr>
          <w:szCs w:val="24"/>
        </w:rPr>
        <w:t>SC </w:t>
      </w:r>
      <w:r w:rsidR="00625E50" w:rsidRPr="00922A86">
        <w:rPr>
          <w:szCs w:val="24"/>
        </w:rPr>
        <w:t>34</w:t>
      </w:r>
    </w:p>
    <w:p w:rsidR="008322BD" w:rsidRPr="00922A86" w:rsidRDefault="009B57B3" w:rsidP="0010710D">
      <w:pPr>
        <w:spacing w:after="720"/>
        <w:jc w:val="both"/>
        <w:rPr>
          <w:szCs w:val="24"/>
        </w:rPr>
      </w:pPr>
      <w:r w:rsidRPr="00922A86">
        <w:rPr>
          <w:szCs w:val="24"/>
        </w:rPr>
        <w:t>N</w:t>
      </w:r>
      <w:r w:rsidRPr="00922A86">
        <w:rPr>
          <w:szCs w:val="24"/>
          <w:vertAlign w:val="superscript"/>
        </w:rPr>
        <w:t>o</w:t>
      </w:r>
      <w:r w:rsidR="0043088E" w:rsidRPr="00922A86">
        <w:rPr>
          <w:szCs w:val="24"/>
        </w:rPr>
        <w:t xml:space="preserve"> du greffe</w:t>
      </w:r>
      <w:r w:rsidR="0010710D" w:rsidRPr="00922A86">
        <w:rPr>
          <w:szCs w:val="24"/>
        </w:rPr>
        <w:t> :</w:t>
      </w:r>
      <w:r w:rsidR="00C67CA5" w:rsidRPr="00922A86">
        <w:rPr>
          <w:szCs w:val="24"/>
        </w:rPr>
        <w:t> </w:t>
      </w:r>
      <w:r w:rsidRPr="00922A86">
        <w:rPr>
          <w:szCs w:val="24"/>
        </w:rPr>
        <w:t>33921.</w:t>
      </w:r>
    </w:p>
    <w:p w:rsidR="008322BD" w:rsidRPr="00922A86" w:rsidRDefault="00C0663B" w:rsidP="0010710D">
      <w:pPr>
        <w:spacing w:after="720"/>
        <w:jc w:val="both"/>
        <w:rPr>
          <w:szCs w:val="24"/>
        </w:rPr>
      </w:pPr>
      <w:r w:rsidRPr="00922A86">
        <w:rPr>
          <w:szCs w:val="24"/>
        </w:rPr>
        <w:t>2011</w:t>
      </w:r>
      <w:r w:rsidR="0010710D" w:rsidRPr="00922A86">
        <w:rPr>
          <w:szCs w:val="24"/>
        </w:rPr>
        <w:t> :</w:t>
      </w:r>
      <w:r w:rsidR="00CF3BB3" w:rsidRPr="00922A86">
        <w:rPr>
          <w:szCs w:val="24"/>
        </w:rPr>
        <w:t> </w:t>
      </w:r>
      <w:r w:rsidRPr="00922A86">
        <w:rPr>
          <w:szCs w:val="24"/>
        </w:rPr>
        <w:t>6</w:t>
      </w:r>
      <w:r w:rsidR="0010710D" w:rsidRPr="00922A86">
        <w:rPr>
          <w:szCs w:val="24"/>
        </w:rPr>
        <w:t> </w:t>
      </w:r>
      <w:r w:rsidRPr="00922A86">
        <w:rPr>
          <w:szCs w:val="24"/>
        </w:rPr>
        <w:t>décembre</w:t>
      </w:r>
      <w:r w:rsidR="009B57B3" w:rsidRPr="00922A86">
        <w:rPr>
          <w:szCs w:val="24"/>
        </w:rPr>
        <w:t xml:space="preserve">; </w:t>
      </w:r>
      <w:r w:rsidR="000410FB" w:rsidRPr="00922A86">
        <w:rPr>
          <w:szCs w:val="24"/>
        </w:rPr>
        <w:t>2012</w:t>
      </w:r>
      <w:r w:rsidR="0010710D" w:rsidRPr="00922A86">
        <w:rPr>
          <w:szCs w:val="24"/>
        </w:rPr>
        <w:t> :</w:t>
      </w:r>
      <w:r w:rsidR="000410FB" w:rsidRPr="00922A86">
        <w:rPr>
          <w:szCs w:val="24"/>
        </w:rPr>
        <w:t xml:space="preserve"> </w:t>
      </w:r>
      <w:r w:rsidR="00625E50" w:rsidRPr="00922A86">
        <w:rPr>
          <w:szCs w:val="24"/>
        </w:rPr>
        <w:t>12 juillet</w:t>
      </w:r>
      <w:r w:rsidR="009B57B3" w:rsidRPr="00922A86">
        <w:rPr>
          <w:szCs w:val="24"/>
        </w:rPr>
        <w:t>.</w:t>
      </w:r>
    </w:p>
    <w:p w:rsidR="008322BD" w:rsidRPr="00922A86" w:rsidRDefault="009B57B3" w:rsidP="0010710D">
      <w:pPr>
        <w:spacing w:after="720"/>
        <w:jc w:val="both"/>
        <w:rPr>
          <w:szCs w:val="24"/>
        </w:rPr>
      </w:pPr>
      <w:r w:rsidRPr="00922A86">
        <w:rPr>
          <w:szCs w:val="24"/>
        </w:rPr>
        <w:t>Pr</w:t>
      </w:r>
      <w:r w:rsidR="0043088E" w:rsidRPr="00922A86">
        <w:rPr>
          <w:szCs w:val="24"/>
        </w:rPr>
        <w:t>é</w:t>
      </w:r>
      <w:r w:rsidRPr="00922A86">
        <w:rPr>
          <w:szCs w:val="24"/>
        </w:rPr>
        <w:t>sent</w:t>
      </w:r>
      <w:r w:rsidR="008A6558" w:rsidRPr="00922A86">
        <w:rPr>
          <w:szCs w:val="24"/>
        </w:rPr>
        <w:t>s</w:t>
      </w:r>
      <w:r w:rsidR="0010710D" w:rsidRPr="00922A86">
        <w:rPr>
          <w:szCs w:val="24"/>
        </w:rPr>
        <w:t> :</w:t>
      </w:r>
      <w:r w:rsidR="00C67CA5" w:rsidRPr="00922A86">
        <w:rPr>
          <w:szCs w:val="24"/>
        </w:rPr>
        <w:t> </w:t>
      </w:r>
      <w:r w:rsidRPr="00922A86">
        <w:rPr>
          <w:szCs w:val="24"/>
        </w:rPr>
        <w:t xml:space="preserve">La juge en chef </w:t>
      </w:r>
      <w:proofErr w:type="spellStart"/>
      <w:r w:rsidRPr="00922A86">
        <w:rPr>
          <w:szCs w:val="24"/>
        </w:rPr>
        <w:t>McLachlin</w:t>
      </w:r>
      <w:proofErr w:type="spellEnd"/>
      <w:r w:rsidRPr="00922A86">
        <w:rPr>
          <w:szCs w:val="24"/>
        </w:rPr>
        <w:t xml:space="preserve"> et les juges LeBel, Deschamps, Fish, Abella, </w:t>
      </w:r>
      <w:proofErr w:type="spellStart"/>
      <w:r w:rsidRPr="00922A86">
        <w:rPr>
          <w:szCs w:val="24"/>
        </w:rPr>
        <w:t>Rothstein</w:t>
      </w:r>
      <w:proofErr w:type="spellEnd"/>
      <w:r w:rsidRPr="00922A86">
        <w:rPr>
          <w:szCs w:val="24"/>
        </w:rPr>
        <w:t xml:space="preserve">, Cromwell, </w:t>
      </w:r>
      <w:proofErr w:type="spellStart"/>
      <w:r w:rsidRPr="00922A86">
        <w:rPr>
          <w:szCs w:val="24"/>
        </w:rPr>
        <w:t>Moldaver</w:t>
      </w:r>
      <w:proofErr w:type="spellEnd"/>
      <w:r w:rsidRPr="00922A86">
        <w:rPr>
          <w:szCs w:val="24"/>
        </w:rPr>
        <w:t xml:space="preserve"> et </w:t>
      </w:r>
      <w:proofErr w:type="spellStart"/>
      <w:r w:rsidRPr="00922A86">
        <w:rPr>
          <w:szCs w:val="24"/>
        </w:rPr>
        <w:t>Karakatsanis</w:t>
      </w:r>
      <w:proofErr w:type="spellEnd"/>
      <w:r w:rsidRPr="00922A86">
        <w:rPr>
          <w:szCs w:val="24"/>
        </w:rPr>
        <w:t>.</w:t>
      </w:r>
    </w:p>
    <w:p w:rsidR="008322BD" w:rsidRPr="00922A86" w:rsidRDefault="00AC7437" w:rsidP="0010710D">
      <w:pPr>
        <w:pStyle w:val="SCCLowerCourtNameLowercase"/>
        <w:spacing w:after="720" w:line="240" w:lineRule="auto"/>
        <w:rPr>
          <w:szCs w:val="24"/>
        </w:rPr>
      </w:pPr>
      <w:r w:rsidRPr="00922A86">
        <w:rPr>
          <w:szCs w:val="24"/>
        </w:rPr>
        <w:lastRenderedPageBreak/>
        <w:t>e</w:t>
      </w:r>
      <w:r w:rsidR="00855307" w:rsidRPr="00922A86">
        <w:rPr>
          <w:szCs w:val="24"/>
        </w:rPr>
        <w:t>n</w:t>
      </w:r>
      <w:r w:rsidR="00224FC0" w:rsidRPr="00922A86">
        <w:rPr>
          <w:szCs w:val="24"/>
        </w:rPr>
        <w:t xml:space="preserve"> </w:t>
      </w:r>
      <w:r w:rsidR="00855307" w:rsidRPr="00922A86">
        <w:rPr>
          <w:szCs w:val="24"/>
        </w:rPr>
        <w:t>appel</w:t>
      </w:r>
      <w:r w:rsidR="00224FC0" w:rsidRPr="00922A86">
        <w:rPr>
          <w:szCs w:val="24"/>
        </w:rPr>
        <w:t xml:space="preserve"> </w:t>
      </w:r>
      <w:r w:rsidR="00855307" w:rsidRPr="00922A86">
        <w:rPr>
          <w:szCs w:val="24"/>
        </w:rPr>
        <w:t>de</w:t>
      </w:r>
      <w:r w:rsidR="0043088E" w:rsidRPr="00922A86">
        <w:rPr>
          <w:szCs w:val="24"/>
        </w:rPr>
        <w:t xml:space="preserve"> </w:t>
      </w:r>
      <w:r w:rsidR="00855307" w:rsidRPr="00922A86">
        <w:rPr>
          <w:szCs w:val="24"/>
        </w:rPr>
        <w:t>la</w:t>
      </w:r>
      <w:r w:rsidR="00224FC0" w:rsidRPr="00922A86">
        <w:rPr>
          <w:szCs w:val="24"/>
        </w:rPr>
        <w:t xml:space="preserve"> </w:t>
      </w:r>
      <w:r w:rsidR="009B57B3" w:rsidRPr="00922A86">
        <w:rPr>
          <w:szCs w:val="24"/>
        </w:rPr>
        <w:t>cour d</w:t>
      </w:r>
      <w:r w:rsidR="00951CA2">
        <w:rPr>
          <w:szCs w:val="24"/>
        </w:rPr>
        <w:t>’</w:t>
      </w:r>
      <w:r w:rsidR="009B57B3" w:rsidRPr="00922A86">
        <w:rPr>
          <w:szCs w:val="24"/>
        </w:rPr>
        <w:t>appel fédérale</w:t>
      </w:r>
    </w:p>
    <w:p w:rsidR="00CF7B76" w:rsidRPr="00922A86" w:rsidRDefault="009B57B3" w:rsidP="00CF7B76">
      <w:pPr>
        <w:pStyle w:val="SCCNormalDoubleSpacing"/>
        <w:spacing w:after="480"/>
        <w:rPr>
          <w:i/>
          <w:szCs w:val="24"/>
          <w:lang w:val="fr-FR"/>
        </w:rPr>
      </w:pPr>
      <w:r w:rsidRPr="00922A86">
        <w:rPr>
          <w:szCs w:val="24"/>
        </w:rPr>
        <w:tab/>
      </w:r>
      <w:r w:rsidR="00CF7B76" w:rsidRPr="003E22BD">
        <w:rPr>
          <w:i/>
          <w:szCs w:val="24"/>
          <w:lang w:val="fr-FR"/>
        </w:rPr>
        <w:t>Propriété intellectuelle</w:t>
      </w:r>
      <w:r w:rsidR="00CF7B76" w:rsidRPr="00922A86">
        <w:rPr>
          <w:i/>
          <w:szCs w:val="24"/>
          <w:lang w:val="fr-FR"/>
        </w:rPr>
        <w:t xml:space="preserve"> — Droit d</w:t>
      </w:r>
      <w:r w:rsidR="00951CA2">
        <w:rPr>
          <w:i/>
          <w:szCs w:val="24"/>
          <w:lang w:val="fr-FR"/>
        </w:rPr>
        <w:t>’</w:t>
      </w:r>
      <w:r w:rsidR="00CF7B76" w:rsidRPr="00922A86">
        <w:rPr>
          <w:i/>
          <w:szCs w:val="24"/>
          <w:lang w:val="fr-FR"/>
        </w:rPr>
        <w:t xml:space="preserve">auteur — Droit de communiquer une </w:t>
      </w:r>
      <w:r w:rsidR="00C835A5">
        <w:rPr>
          <w:i/>
          <w:szCs w:val="24"/>
          <w:lang w:val="fr-FR"/>
        </w:rPr>
        <w:t>œ</w:t>
      </w:r>
      <w:r w:rsidR="00CF7B76" w:rsidRPr="00922A86">
        <w:rPr>
          <w:i/>
          <w:szCs w:val="24"/>
          <w:lang w:val="fr-FR"/>
        </w:rPr>
        <w:t>uvre au public par télécommunication — Homologation d</w:t>
      </w:r>
      <w:r w:rsidR="00951CA2">
        <w:rPr>
          <w:i/>
          <w:szCs w:val="24"/>
          <w:lang w:val="fr-FR"/>
        </w:rPr>
        <w:t>’</w:t>
      </w:r>
      <w:r w:rsidR="00CF7B76" w:rsidRPr="00922A86">
        <w:rPr>
          <w:i/>
          <w:szCs w:val="24"/>
          <w:lang w:val="fr-FR"/>
        </w:rPr>
        <w:t>un tarif par la Commission du droit d</w:t>
      </w:r>
      <w:r w:rsidR="00951CA2">
        <w:rPr>
          <w:i/>
          <w:szCs w:val="24"/>
          <w:lang w:val="fr-FR"/>
        </w:rPr>
        <w:t>’</w:t>
      </w:r>
      <w:r w:rsidR="00CF7B76" w:rsidRPr="00922A86">
        <w:rPr>
          <w:i/>
          <w:szCs w:val="24"/>
          <w:lang w:val="fr-FR"/>
        </w:rPr>
        <w:t>auteur relativement au droit de communication d</w:t>
      </w:r>
      <w:r w:rsidR="00951CA2">
        <w:rPr>
          <w:i/>
          <w:szCs w:val="24"/>
          <w:lang w:val="fr-FR"/>
        </w:rPr>
        <w:t>’</w:t>
      </w:r>
      <w:r w:rsidR="00EF56E4">
        <w:rPr>
          <w:i/>
          <w:szCs w:val="24"/>
          <w:lang w:val="fr-FR"/>
        </w:rPr>
        <w:t>une œ</w:t>
      </w:r>
      <w:r w:rsidR="00CF7B76" w:rsidRPr="00922A86">
        <w:rPr>
          <w:i/>
          <w:szCs w:val="24"/>
          <w:lang w:val="fr-FR"/>
        </w:rPr>
        <w:t>uvre musicale protégée contenue dans un jeu vidéo vendu par téléchargement Internet — La transmission d</w:t>
      </w:r>
      <w:r w:rsidR="00951CA2">
        <w:rPr>
          <w:i/>
          <w:szCs w:val="24"/>
          <w:lang w:val="fr-FR"/>
        </w:rPr>
        <w:t>’</w:t>
      </w:r>
      <w:r w:rsidR="00EF56E4">
        <w:rPr>
          <w:i/>
          <w:szCs w:val="24"/>
          <w:lang w:val="fr-FR"/>
        </w:rPr>
        <w:t>une œ</w:t>
      </w:r>
      <w:r w:rsidR="00CF7B76" w:rsidRPr="00922A86">
        <w:rPr>
          <w:i/>
          <w:szCs w:val="24"/>
          <w:lang w:val="fr-FR"/>
        </w:rPr>
        <w:t xml:space="preserve">uvre musicale contenue dans un jeu vidéo par téléchargement Internet </w:t>
      </w:r>
      <w:r w:rsidR="00214EEF" w:rsidRPr="00922A86">
        <w:rPr>
          <w:i/>
          <w:szCs w:val="24"/>
          <w:lang w:val="fr-FR"/>
        </w:rPr>
        <w:t>constitue-</w:t>
      </w:r>
      <w:r w:rsidR="00CF7B76" w:rsidRPr="00922A86">
        <w:rPr>
          <w:i/>
          <w:szCs w:val="24"/>
          <w:lang w:val="fr-FR"/>
        </w:rPr>
        <w:t>t-e</w:t>
      </w:r>
      <w:r w:rsidR="00EF56E4">
        <w:rPr>
          <w:i/>
          <w:szCs w:val="24"/>
          <w:lang w:val="fr-FR"/>
        </w:rPr>
        <w:t>lle une communication au public</w:t>
      </w:r>
      <w:r w:rsidR="00CF7B76" w:rsidRPr="00922A86">
        <w:rPr>
          <w:i/>
          <w:szCs w:val="24"/>
          <w:lang w:val="fr-FR"/>
        </w:rPr>
        <w:t>?  — Loi sur le droit d</w:t>
      </w:r>
      <w:r w:rsidR="00951CA2">
        <w:rPr>
          <w:i/>
          <w:szCs w:val="24"/>
          <w:lang w:val="fr-FR"/>
        </w:rPr>
        <w:t>’</w:t>
      </w:r>
      <w:r w:rsidR="00EF56E4">
        <w:rPr>
          <w:i/>
          <w:szCs w:val="24"/>
          <w:lang w:val="fr-FR"/>
        </w:rPr>
        <w:t>auteur, L.R.C. 1985, ch. C-</w:t>
      </w:r>
      <w:r w:rsidR="00CF7B76" w:rsidRPr="00922A86">
        <w:rPr>
          <w:i/>
          <w:szCs w:val="24"/>
          <w:lang w:val="fr-FR"/>
        </w:rPr>
        <w:t>42, art. 3(1)f).</w:t>
      </w:r>
    </w:p>
    <w:p w:rsidR="00CF7B76" w:rsidRPr="00922A86" w:rsidRDefault="00CF7B76" w:rsidP="00CF7B76">
      <w:pPr>
        <w:pStyle w:val="SCCNormalDoubleSpacing"/>
        <w:spacing w:after="480"/>
        <w:rPr>
          <w:szCs w:val="24"/>
          <w:lang w:val="fr-FR"/>
        </w:rPr>
      </w:pPr>
      <w:r w:rsidRPr="00922A86">
        <w:rPr>
          <w:szCs w:val="24"/>
          <w:lang w:val="fr-FR"/>
        </w:rPr>
        <w:tab/>
        <w:t>Les appelant</w:t>
      </w:r>
      <w:r w:rsidR="00DF5BEF" w:rsidRPr="00922A86">
        <w:rPr>
          <w:szCs w:val="24"/>
          <w:lang w:val="fr-FR"/>
        </w:rPr>
        <w:t>e</w:t>
      </w:r>
      <w:r w:rsidRPr="00922A86">
        <w:rPr>
          <w:szCs w:val="24"/>
          <w:lang w:val="fr-FR"/>
        </w:rPr>
        <w:t xml:space="preserve">s, ESA, représentent une </w:t>
      </w:r>
      <w:r w:rsidRPr="00922A86">
        <w:rPr>
          <w:szCs w:val="24"/>
        </w:rPr>
        <w:t>coalition d</w:t>
      </w:r>
      <w:r w:rsidR="00951CA2">
        <w:rPr>
          <w:szCs w:val="24"/>
        </w:rPr>
        <w:t>’</w:t>
      </w:r>
      <w:r w:rsidRPr="00922A86">
        <w:rPr>
          <w:szCs w:val="24"/>
        </w:rPr>
        <w:t xml:space="preserve">éditeurs et de distributeurs de jeux vidéo qui </w:t>
      </w:r>
      <w:r w:rsidR="00DF5BEF" w:rsidRPr="00922A86">
        <w:rPr>
          <w:szCs w:val="24"/>
        </w:rPr>
        <w:t xml:space="preserve">permettent </w:t>
      </w:r>
      <w:r w:rsidR="002710C4" w:rsidRPr="00922A86">
        <w:rPr>
          <w:szCs w:val="24"/>
        </w:rPr>
        <w:t xml:space="preserve">à leurs clients </w:t>
      </w:r>
      <w:r w:rsidRPr="00922A86">
        <w:rPr>
          <w:szCs w:val="24"/>
        </w:rPr>
        <w:t>de télécharger des jeux vidéo sur Internet.</w:t>
      </w:r>
      <w:r w:rsidRPr="00922A86">
        <w:rPr>
          <w:szCs w:val="24"/>
          <w:lang w:val="fr-FR"/>
        </w:rPr>
        <w:t xml:space="preserve">  La </w:t>
      </w:r>
      <w:r w:rsidRPr="00922A86">
        <w:rPr>
          <w:szCs w:val="24"/>
        </w:rPr>
        <w:t>copie téléchargée est identique à l</w:t>
      </w:r>
      <w:r w:rsidR="00951CA2">
        <w:rPr>
          <w:szCs w:val="24"/>
        </w:rPr>
        <w:t>’</w:t>
      </w:r>
      <w:r w:rsidRPr="00922A86">
        <w:rPr>
          <w:szCs w:val="24"/>
        </w:rPr>
        <w:t>exemplaire acheté en magasin ou expédié par la poste</w:t>
      </w:r>
      <w:r w:rsidR="00DF5BEF" w:rsidRPr="00922A86">
        <w:rPr>
          <w:szCs w:val="24"/>
        </w:rPr>
        <w:t>.  L</w:t>
      </w:r>
      <w:r w:rsidRPr="00922A86">
        <w:rPr>
          <w:szCs w:val="24"/>
          <w:lang w:val="fr-FR"/>
        </w:rPr>
        <w:t xml:space="preserve">es jeux vidéo </w:t>
      </w:r>
      <w:r w:rsidR="00DF5BEF" w:rsidRPr="00922A86">
        <w:rPr>
          <w:szCs w:val="24"/>
          <w:lang w:val="fr-FR"/>
        </w:rPr>
        <w:t xml:space="preserve">renferment </w:t>
      </w:r>
      <w:r w:rsidRPr="00922A86">
        <w:rPr>
          <w:szCs w:val="24"/>
          <w:lang w:val="fr-FR"/>
        </w:rPr>
        <w:t xml:space="preserve">des </w:t>
      </w:r>
      <w:r w:rsidR="00DF5BEF" w:rsidRPr="00922A86">
        <w:rPr>
          <w:szCs w:val="24"/>
          <w:lang w:val="fr-FR"/>
        </w:rPr>
        <w:t>œuvres</w:t>
      </w:r>
      <w:r w:rsidRPr="00922A86">
        <w:rPr>
          <w:szCs w:val="24"/>
          <w:lang w:val="fr-FR"/>
        </w:rPr>
        <w:t xml:space="preserve"> musicales protégées par le droit d</w:t>
      </w:r>
      <w:r w:rsidR="00951CA2">
        <w:rPr>
          <w:szCs w:val="24"/>
          <w:lang w:val="fr-FR"/>
        </w:rPr>
        <w:t>’</w:t>
      </w:r>
      <w:r w:rsidRPr="00922A86">
        <w:rPr>
          <w:szCs w:val="24"/>
          <w:lang w:val="fr-FR"/>
        </w:rPr>
        <w:t xml:space="preserve">auteur.  Les </w:t>
      </w:r>
      <w:r w:rsidR="002710C4" w:rsidRPr="00922A86">
        <w:rPr>
          <w:szCs w:val="24"/>
          <w:lang w:val="fr-FR"/>
        </w:rPr>
        <w:t xml:space="preserve">redevances de reproduction </w:t>
      </w:r>
      <w:r w:rsidRPr="00922A86">
        <w:rPr>
          <w:szCs w:val="24"/>
          <w:lang w:val="fr-FR"/>
        </w:rPr>
        <w:t>de l</w:t>
      </w:r>
      <w:r w:rsidR="00951CA2">
        <w:rPr>
          <w:szCs w:val="24"/>
          <w:lang w:val="fr-FR"/>
        </w:rPr>
        <w:t>’</w:t>
      </w:r>
      <w:r w:rsidR="00DF5BEF" w:rsidRPr="00922A86">
        <w:rPr>
          <w:szCs w:val="24"/>
          <w:lang w:val="fr-FR"/>
        </w:rPr>
        <w:t>œuvre</w:t>
      </w:r>
      <w:r w:rsidRPr="00922A86">
        <w:rPr>
          <w:szCs w:val="24"/>
          <w:lang w:val="fr-FR"/>
        </w:rPr>
        <w:t xml:space="preserve"> musicale sont négocié</w:t>
      </w:r>
      <w:r w:rsidR="002710C4" w:rsidRPr="00922A86">
        <w:rPr>
          <w:szCs w:val="24"/>
          <w:lang w:val="fr-FR"/>
        </w:rPr>
        <w:t>e</w:t>
      </w:r>
      <w:r w:rsidRPr="00922A86">
        <w:rPr>
          <w:szCs w:val="24"/>
          <w:lang w:val="fr-FR"/>
        </w:rPr>
        <w:t xml:space="preserve">s avant la vente </w:t>
      </w:r>
      <w:r w:rsidR="00DF5BEF" w:rsidRPr="00922A86">
        <w:rPr>
          <w:szCs w:val="24"/>
          <w:lang w:val="fr-FR"/>
        </w:rPr>
        <w:t xml:space="preserve">au public </w:t>
      </w:r>
      <w:r w:rsidRPr="00922A86">
        <w:rPr>
          <w:szCs w:val="24"/>
          <w:lang w:val="fr-FR"/>
        </w:rPr>
        <w:t>du jeu</w:t>
      </w:r>
      <w:r w:rsidR="00DF5BEF" w:rsidRPr="00922A86">
        <w:rPr>
          <w:szCs w:val="24"/>
          <w:lang w:val="fr-FR"/>
        </w:rPr>
        <w:t xml:space="preserve"> qui la renferme</w:t>
      </w:r>
      <w:r w:rsidRPr="00922A86">
        <w:rPr>
          <w:szCs w:val="24"/>
          <w:lang w:val="fr-FR"/>
        </w:rPr>
        <w:t>.  L</w:t>
      </w:r>
      <w:r w:rsidR="00951CA2">
        <w:rPr>
          <w:szCs w:val="24"/>
          <w:lang w:val="fr-FR"/>
        </w:rPr>
        <w:t>’</w:t>
      </w:r>
      <w:r w:rsidRPr="00922A86">
        <w:rPr>
          <w:szCs w:val="24"/>
          <w:lang w:val="fr-FR"/>
        </w:rPr>
        <w:t xml:space="preserve">intimée, la SOCAN, qui </w:t>
      </w:r>
      <w:r w:rsidR="00DF5BEF" w:rsidRPr="00922A86">
        <w:rPr>
          <w:szCs w:val="24"/>
          <w:lang w:val="fr-FR"/>
        </w:rPr>
        <w:t xml:space="preserve">gère le </w:t>
      </w:r>
      <w:r w:rsidRPr="00922A86">
        <w:rPr>
          <w:szCs w:val="24"/>
        </w:rPr>
        <w:t xml:space="preserve">droit de « communiquer » </w:t>
      </w:r>
      <w:r w:rsidR="00DF5BEF" w:rsidRPr="00922A86">
        <w:rPr>
          <w:szCs w:val="24"/>
        </w:rPr>
        <w:t xml:space="preserve">une </w:t>
      </w:r>
      <w:r w:rsidRPr="00922A86">
        <w:rPr>
          <w:szCs w:val="24"/>
        </w:rPr>
        <w:t>œuvre musicale pour le compte d</w:t>
      </w:r>
      <w:r w:rsidR="002710C4" w:rsidRPr="00922A86">
        <w:rPr>
          <w:szCs w:val="24"/>
        </w:rPr>
        <w:t>u</w:t>
      </w:r>
      <w:r w:rsidRPr="00922A86">
        <w:rPr>
          <w:szCs w:val="24"/>
        </w:rPr>
        <w:t xml:space="preserve"> titulaire du droit d</w:t>
      </w:r>
      <w:r w:rsidR="00951CA2">
        <w:rPr>
          <w:szCs w:val="24"/>
        </w:rPr>
        <w:t>’</w:t>
      </w:r>
      <w:r w:rsidRPr="00922A86">
        <w:rPr>
          <w:szCs w:val="24"/>
        </w:rPr>
        <w:t>auteur,</w:t>
      </w:r>
      <w:r w:rsidRPr="00922A86">
        <w:rPr>
          <w:szCs w:val="24"/>
          <w:lang w:val="fr-FR"/>
        </w:rPr>
        <w:t xml:space="preserve"> a demandé à la Commission du droit d</w:t>
      </w:r>
      <w:r w:rsidR="00951CA2">
        <w:rPr>
          <w:szCs w:val="24"/>
          <w:lang w:val="fr-FR"/>
        </w:rPr>
        <w:t>’</w:t>
      </w:r>
      <w:r w:rsidRPr="00922A86">
        <w:rPr>
          <w:szCs w:val="24"/>
          <w:lang w:val="fr-FR"/>
        </w:rPr>
        <w:t>auteur d</w:t>
      </w:r>
      <w:r w:rsidR="00951CA2">
        <w:rPr>
          <w:szCs w:val="24"/>
          <w:lang w:val="fr-FR"/>
        </w:rPr>
        <w:t>’</w:t>
      </w:r>
      <w:r w:rsidRPr="00922A86">
        <w:rPr>
          <w:szCs w:val="24"/>
          <w:lang w:val="fr-FR"/>
        </w:rPr>
        <w:t>homologuer un tarif applicable au téléchargement Internet d</w:t>
      </w:r>
      <w:r w:rsidR="00951CA2">
        <w:rPr>
          <w:szCs w:val="24"/>
          <w:lang w:val="fr-FR"/>
        </w:rPr>
        <w:t>’</w:t>
      </w:r>
      <w:r w:rsidR="00DF5BEF" w:rsidRPr="00922A86">
        <w:rPr>
          <w:szCs w:val="24"/>
          <w:lang w:val="fr-FR"/>
        </w:rPr>
        <w:t>œuvres</w:t>
      </w:r>
      <w:r w:rsidRPr="00922A86">
        <w:rPr>
          <w:szCs w:val="24"/>
          <w:lang w:val="fr-FR"/>
        </w:rPr>
        <w:t xml:space="preserve"> musicales.  La Commission du droit d</w:t>
      </w:r>
      <w:r w:rsidR="00951CA2">
        <w:rPr>
          <w:szCs w:val="24"/>
          <w:lang w:val="fr-FR"/>
        </w:rPr>
        <w:t>’</w:t>
      </w:r>
      <w:r w:rsidRPr="00922A86">
        <w:rPr>
          <w:szCs w:val="24"/>
          <w:lang w:val="fr-FR"/>
        </w:rPr>
        <w:t xml:space="preserve">auteur a conclu que télécharger un fichier contenant une </w:t>
      </w:r>
      <w:r w:rsidR="00DF5BEF" w:rsidRPr="00922A86">
        <w:rPr>
          <w:szCs w:val="24"/>
          <w:lang w:val="fr-FR"/>
        </w:rPr>
        <w:t>œuvre</w:t>
      </w:r>
      <w:r w:rsidRPr="00922A86">
        <w:rPr>
          <w:szCs w:val="24"/>
          <w:lang w:val="fr-FR"/>
        </w:rPr>
        <w:t xml:space="preserve"> musicale équivaut à communiquer </w:t>
      </w:r>
      <w:r w:rsidR="002710C4" w:rsidRPr="00922A86">
        <w:rPr>
          <w:szCs w:val="24"/>
          <w:lang w:val="fr-FR"/>
        </w:rPr>
        <w:t xml:space="preserve">celle-ci </w:t>
      </w:r>
      <w:r w:rsidRPr="00922A86">
        <w:rPr>
          <w:szCs w:val="24"/>
          <w:lang w:val="fr-FR"/>
        </w:rPr>
        <w:t>au public par télécommunication pour l</w:t>
      </w:r>
      <w:r w:rsidR="00951CA2">
        <w:rPr>
          <w:szCs w:val="24"/>
          <w:lang w:val="fr-FR"/>
        </w:rPr>
        <w:t>’</w:t>
      </w:r>
      <w:r w:rsidRPr="00922A86">
        <w:rPr>
          <w:szCs w:val="24"/>
          <w:lang w:val="fr-FR"/>
        </w:rPr>
        <w:t>application de l</w:t>
      </w:r>
      <w:r w:rsidR="00951CA2">
        <w:rPr>
          <w:szCs w:val="24"/>
          <w:lang w:val="fr-FR"/>
        </w:rPr>
        <w:t>’</w:t>
      </w:r>
      <w:r w:rsidRPr="00922A86">
        <w:rPr>
          <w:szCs w:val="24"/>
          <w:lang w:val="fr-FR"/>
        </w:rPr>
        <w:t>al. 3(1)</w:t>
      </w:r>
      <w:r w:rsidRPr="00922A86">
        <w:rPr>
          <w:i/>
          <w:szCs w:val="24"/>
          <w:lang w:val="fr-FR"/>
        </w:rPr>
        <w:t>f</w:t>
      </w:r>
      <w:r w:rsidRPr="00922A86">
        <w:rPr>
          <w:szCs w:val="24"/>
          <w:lang w:val="fr-FR"/>
        </w:rPr>
        <w:t xml:space="preserve">) de la </w:t>
      </w:r>
      <w:r w:rsidRPr="00CF4791">
        <w:rPr>
          <w:i/>
          <w:szCs w:val="24"/>
          <w:lang w:val="fr-FR"/>
        </w:rPr>
        <w:t>Loi</w:t>
      </w:r>
      <w:r w:rsidR="00CF4791" w:rsidRPr="00CF4791">
        <w:rPr>
          <w:i/>
          <w:szCs w:val="24"/>
          <w:lang w:val="fr-FR"/>
        </w:rPr>
        <w:t xml:space="preserve"> sur le droit d’auteur</w:t>
      </w:r>
      <w:r w:rsidRPr="00922A86">
        <w:rPr>
          <w:szCs w:val="24"/>
          <w:lang w:val="fr-FR"/>
        </w:rPr>
        <w:t xml:space="preserve"> et </w:t>
      </w:r>
      <w:r w:rsidR="00DF5BEF" w:rsidRPr="00922A86">
        <w:rPr>
          <w:szCs w:val="24"/>
          <w:lang w:val="fr-FR"/>
        </w:rPr>
        <w:t xml:space="preserve">donne </w:t>
      </w:r>
      <w:r w:rsidRPr="00922A86">
        <w:rPr>
          <w:szCs w:val="24"/>
          <w:lang w:val="fr-FR"/>
        </w:rPr>
        <w:t xml:space="preserve">droit </w:t>
      </w:r>
      <w:r w:rsidR="00DF5BEF" w:rsidRPr="00922A86">
        <w:rPr>
          <w:szCs w:val="24"/>
          <w:lang w:val="fr-FR"/>
        </w:rPr>
        <w:t xml:space="preserve">aux </w:t>
      </w:r>
      <w:r w:rsidRPr="00922A86">
        <w:rPr>
          <w:szCs w:val="24"/>
          <w:lang w:val="fr-FR"/>
        </w:rPr>
        <w:t xml:space="preserve">membres de la SOCAN à </w:t>
      </w:r>
      <w:r w:rsidRPr="00922A86">
        <w:rPr>
          <w:szCs w:val="24"/>
          <w:lang w:val="fr-FR"/>
        </w:rPr>
        <w:lastRenderedPageBreak/>
        <w:t xml:space="preserve">une rémunération selon le tarif homologué.  </w:t>
      </w:r>
      <w:r w:rsidR="00DF5BEF" w:rsidRPr="00922A86">
        <w:rPr>
          <w:szCs w:val="24"/>
          <w:lang w:val="fr-FR"/>
        </w:rPr>
        <w:t>Saisie d</w:t>
      </w:r>
      <w:r w:rsidR="00951CA2">
        <w:rPr>
          <w:szCs w:val="24"/>
          <w:lang w:val="fr-FR"/>
        </w:rPr>
        <w:t>’</w:t>
      </w:r>
      <w:r w:rsidR="00DF5BEF" w:rsidRPr="00922A86">
        <w:rPr>
          <w:szCs w:val="24"/>
          <w:lang w:val="fr-FR"/>
        </w:rPr>
        <w:t xml:space="preserve">une demande de </w:t>
      </w:r>
      <w:r w:rsidRPr="00922A86">
        <w:rPr>
          <w:szCs w:val="24"/>
          <w:lang w:val="fr-FR"/>
        </w:rPr>
        <w:t>contrôle judiciaire, la Cour d</w:t>
      </w:r>
      <w:r w:rsidR="00951CA2">
        <w:rPr>
          <w:szCs w:val="24"/>
          <w:lang w:val="fr-FR"/>
        </w:rPr>
        <w:t>’</w:t>
      </w:r>
      <w:r w:rsidRPr="00922A86">
        <w:rPr>
          <w:szCs w:val="24"/>
          <w:lang w:val="fr-FR"/>
        </w:rPr>
        <w:t xml:space="preserve">appel fédérale a confirmé la décision de la Commission. </w:t>
      </w:r>
    </w:p>
    <w:p w:rsidR="00CF7B76" w:rsidRPr="00922A86" w:rsidRDefault="00CF7B76" w:rsidP="00CF7B76">
      <w:pPr>
        <w:pStyle w:val="SCCNormalDoubleSpacing"/>
        <w:spacing w:after="480"/>
        <w:rPr>
          <w:szCs w:val="24"/>
          <w:lang w:val="fr-FR"/>
        </w:rPr>
      </w:pPr>
      <w:r w:rsidRPr="00922A86">
        <w:rPr>
          <w:szCs w:val="24"/>
          <w:lang w:val="fr-FR"/>
        </w:rPr>
        <w:tab/>
      </w:r>
      <w:r w:rsidRPr="003E22BD">
        <w:rPr>
          <w:i/>
          <w:szCs w:val="24"/>
          <w:lang w:val="fr-FR"/>
        </w:rPr>
        <w:t xml:space="preserve">Arrêt </w:t>
      </w:r>
      <w:r w:rsidRPr="00EF56E4">
        <w:rPr>
          <w:szCs w:val="24"/>
          <w:lang w:val="fr-FR"/>
        </w:rPr>
        <w:t>(</w:t>
      </w:r>
      <w:r w:rsidRPr="00922A86">
        <w:rPr>
          <w:szCs w:val="24"/>
          <w:lang w:val="fr-FR"/>
        </w:rPr>
        <w:t xml:space="preserve">les juges </w:t>
      </w:r>
      <w:proofErr w:type="spellStart"/>
      <w:r w:rsidRPr="00922A86">
        <w:rPr>
          <w:szCs w:val="24"/>
          <w:lang w:val="fr-FR"/>
        </w:rPr>
        <w:t>LeBel</w:t>
      </w:r>
      <w:proofErr w:type="spellEnd"/>
      <w:r w:rsidRPr="00922A86">
        <w:rPr>
          <w:szCs w:val="24"/>
          <w:lang w:val="fr-FR"/>
        </w:rPr>
        <w:t xml:space="preserve">, Fish, </w:t>
      </w:r>
      <w:proofErr w:type="spellStart"/>
      <w:r w:rsidRPr="00AD1304">
        <w:rPr>
          <w:szCs w:val="24"/>
          <w:lang w:val="fr-FR"/>
        </w:rPr>
        <w:t>Rothstein</w:t>
      </w:r>
      <w:proofErr w:type="spellEnd"/>
      <w:r w:rsidRPr="00922A86">
        <w:rPr>
          <w:szCs w:val="24"/>
          <w:lang w:val="fr-FR"/>
        </w:rPr>
        <w:t xml:space="preserve"> et Cromwell sont dissidents) : Le pourvoi est accueilli.</w:t>
      </w:r>
    </w:p>
    <w:p w:rsidR="00CF7B76" w:rsidRPr="00922A86" w:rsidRDefault="00CF7B76" w:rsidP="00DF5BEF">
      <w:pPr>
        <w:pStyle w:val="SCCNormalDoubleSpacing"/>
        <w:spacing w:after="480"/>
        <w:rPr>
          <w:szCs w:val="24"/>
          <w:lang w:val="fr-FR"/>
        </w:rPr>
      </w:pPr>
      <w:r w:rsidRPr="00922A86">
        <w:rPr>
          <w:i/>
          <w:szCs w:val="24"/>
        </w:rPr>
        <w:tab/>
      </w:r>
      <w:r w:rsidRPr="00922A86">
        <w:rPr>
          <w:i/>
          <w:szCs w:val="24"/>
          <w:lang w:val="fr-FR"/>
        </w:rPr>
        <w:t xml:space="preserve">La </w:t>
      </w:r>
      <w:r w:rsidRPr="00922A86">
        <w:rPr>
          <w:szCs w:val="24"/>
          <w:lang w:val="fr-FR"/>
        </w:rPr>
        <w:t xml:space="preserve">juge en chef </w:t>
      </w:r>
      <w:proofErr w:type="spellStart"/>
      <w:r w:rsidRPr="00922A86">
        <w:rPr>
          <w:szCs w:val="24"/>
          <w:lang w:val="fr-FR"/>
        </w:rPr>
        <w:t>McLachlin</w:t>
      </w:r>
      <w:proofErr w:type="spellEnd"/>
      <w:r w:rsidRPr="00922A86">
        <w:rPr>
          <w:szCs w:val="24"/>
          <w:lang w:val="fr-FR"/>
        </w:rPr>
        <w:t xml:space="preserve"> et les juges Deschamps, </w:t>
      </w:r>
      <w:r w:rsidRPr="00EF56E4">
        <w:rPr>
          <w:szCs w:val="24"/>
          <w:lang w:val="fr-FR"/>
        </w:rPr>
        <w:t>Abella</w:t>
      </w:r>
      <w:r w:rsidRPr="00922A86">
        <w:rPr>
          <w:szCs w:val="24"/>
          <w:lang w:val="fr-FR"/>
        </w:rPr>
        <w:t xml:space="preserve">, </w:t>
      </w:r>
      <w:proofErr w:type="spellStart"/>
      <w:r w:rsidRPr="00EF56E4">
        <w:rPr>
          <w:szCs w:val="24"/>
          <w:lang w:val="fr-FR"/>
        </w:rPr>
        <w:t>Moldaver</w:t>
      </w:r>
      <w:proofErr w:type="spellEnd"/>
      <w:r w:rsidRPr="00922A86">
        <w:rPr>
          <w:szCs w:val="24"/>
          <w:lang w:val="fr-FR"/>
        </w:rPr>
        <w:t xml:space="preserve"> et </w:t>
      </w:r>
      <w:proofErr w:type="spellStart"/>
      <w:r w:rsidRPr="00922A86">
        <w:rPr>
          <w:szCs w:val="24"/>
          <w:lang w:val="fr-FR"/>
        </w:rPr>
        <w:t>Karakatsanis</w:t>
      </w:r>
      <w:proofErr w:type="spellEnd"/>
      <w:r w:rsidRPr="00922A86">
        <w:rPr>
          <w:szCs w:val="24"/>
          <w:lang w:val="fr-FR"/>
        </w:rPr>
        <w:t> : L</w:t>
      </w:r>
      <w:r w:rsidRPr="00922A86">
        <w:rPr>
          <w:szCs w:val="24"/>
        </w:rPr>
        <w:t>a conclusion de la Commission du droit d</w:t>
      </w:r>
      <w:r w:rsidR="00951CA2">
        <w:rPr>
          <w:szCs w:val="24"/>
        </w:rPr>
        <w:t>’</w:t>
      </w:r>
      <w:r w:rsidRPr="00922A86">
        <w:rPr>
          <w:szCs w:val="24"/>
        </w:rPr>
        <w:t xml:space="preserve">auteur selon laquelle </w:t>
      </w:r>
      <w:r w:rsidR="00DF5BEF" w:rsidRPr="00922A86">
        <w:rPr>
          <w:szCs w:val="24"/>
        </w:rPr>
        <w:t xml:space="preserve">livrer par </w:t>
      </w:r>
      <w:r w:rsidRPr="00922A86">
        <w:rPr>
          <w:szCs w:val="24"/>
        </w:rPr>
        <w:t>Internet une copie permanente d</w:t>
      </w:r>
      <w:r w:rsidR="00951CA2">
        <w:rPr>
          <w:szCs w:val="24"/>
        </w:rPr>
        <w:t>’</w:t>
      </w:r>
      <w:r w:rsidRPr="00922A86">
        <w:rPr>
          <w:szCs w:val="24"/>
        </w:rPr>
        <w:t>un jeu vidéo qui renferme une œuvre musicale équivaut à « communiquer » cette œuvre pour l</w:t>
      </w:r>
      <w:r w:rsidR="00951CA2">
        <w:rPr>
          <w:szCs w:val="24"/>
        </w:rPr>
        <w:t>’</w:t>
      </w:r>
      <w:r w:rsidRPr="00922A86">
        <w:rPr>
          <w:szCs w:val="24"/>
        </w:rPr>
        <w:t>application de l</w:t>
      </w:r>
      <w:r w:rsidR="00951CA2">
        <w:rPr>
          <w:szCs w:val="24"/>
        </w:rPr>
        <w:t>’</w:t>
      </w:r>
      <w:r w:rsidRPr="00922A86">
        <w:rPr>
          <w:szCs w:val="24"/>
        </w:rPr>
        <w:t>al. 3(1)</w:t>
      </w:r>
      <w:r w:rsidRPr="00922A86">
        <w:rPr>
          <w:i/>
          <w:szCs w:val="24"/>
        </w:rPr>
        <w:t>f</w:t>
      </w:r>
      <w:r w:rsidRPr="00922A86">
        <w:rPr>
          <w:szCs w:val="24"/>
        </w:rPr>
        <w:t xml:space="preserve">) de la </w:t>
      </w:r>
      <w:r w:rsidRPr="00922A86">
        <w:rPr>
          <w:i/>
          <w:szCs w:val="24"/>
        </w:rPr>
        <w:t>Loi sur le droit d</w:t>
      </w:r>
      <w:r w:rsidR="00951CA2">
        <w:rPr>
          <w:i/>
          <w:szCs w:val="24"/>
        </w:rPr>
        <w:t>’</w:t>
      </w:r>
      <w:r w:rsidRPr="00922A86">
        <w:rPr>
          <w:i/>
          <w:szCs w:val="24"/>
        </w:rPr>
        <w:t>auteur</w:t>
      </w:r>
      <w:r w:rsidRPr="00922A86">
        <w:rPr>
          <w:szCs w:val="24"/>
        </w:rPr>
        <w:t xml:space="preserve"> doit </w:t>
      </w:r>
      <w:r w:rsidRPr="00922A86">
        <w:rPr>
          <w:szCs w:val="24"/>
          <w:lang w:val="fr-FR"/>
        </w:rPr>
        <w:t>être</w:t>
      </w:r>
      <w:r w:rsidRPr="00922A86">
        <w:rPr>
          <w:szCs w:val="24"/>
        </w:rPr>
        <w:t xml:space="preserve"> annulée</w:t>
      </w:r>
      <w:r w:rsidRPr="00922A86">
        <w:rPr>
          <w:szCs w:val="24"/>
          <w:lang w:val="fr-FR"/>
        </w:rPr>
        <w:t xml:space="preserve">. </w:t>
      </w:r>
    </w:p>
    <w:p w:rsidR="00CF7B76" w:rsidRPr="00922A86" w:rsidRDefault="00CF7B76" w:rsidP="00DF5BEF">
      <w:pPr>
        <w:pStyle w:val="SCCNormalDoubleSpacing"/>
        <w:spacing w:after="480"/>
        <w:rPr>
          <w:szCs w:val="24"/>
          <w:lang w:val="fr-FR"/>
        </w:rPr>
      </w:pPr>
      <w:r w:rsidRPr="00922A86">
        <w:rPr>
          <w:szCs w:val="24"/>
          <w:lang w:val="fr-FR"/>
        </w:rPr>
        <w:tab/>
      </w:r>
      <w:r w:rsidRPr="00922A86">
        <w:rPr>
          <w:szCs w:val="24"/>
        </w:rPr>
        <w:t xml:space="preserve">La conclusion de la Commission </w:t>
      </w:r>
      <w:r w:rsidR="00DF5BEF" w:rsidRPr="00922A86">
        <w:rPr>
          <w:szCs w:val="24"/>
        </w:rPr>
        <w:t>voulant qu</w:t>
      </w:r>
      <w:r w:rsidR="00951CA2">
        <w:rPr>
          <w:szCs w:val="24"/>
        </w:rPr>
        <w:t>’</w:t>
      </w:r>
      <w:r w:rsidRPr="00922A86">
        <w:rPr>
          <w:szCs w:val="24"/>
        </w:rPr>
        <w:t>un tarif distinct s</w:t>
      </w:r>
      <w:r w:rsidR="00951CA2">
        <w:rPr>
          <w:szCs w:val="24"/>
        </w:rPr>
        <w:t>’</w:t>
      </w:r>
      <w:r w:rsidRPr="00922A86">
        <w:rPr>
          <w:szCs w:val="24"/>
        </w:rPr>
        <w:t>applique au téléchargement pour la « communication » d</w:t>
      </w:r>
      <w:r w:rsidR="00951CA2">
        <w:rPr>
          <w:szCs w:val="24"/>
        </w:rPr>
        <w:t>’</w:t>
      </w:r>
      <w:r w:rsidRPr="00922A86">
        <w:rPr>
          <w:szCs w:val="24"/>
        </w:rPr>
        <w:t>une œuvre musicale va à l</w:t>
      </w:r>
      <w:r w:rsidR="00951CA2">
        <w:rPr>
          <w:szCs w:val="24"/>
        </w:rPr>
        <w:t>’</w:t>
      </w:r>
      <w:r w:rsidRPr="00922A86">
        <w:rPr>
          <w:szCs w:val="24"/>
        </w:rPr>
        <w:t xml:space="preserve">encontre du principe de la neutralité technologique, à savoir que la </w:t>
      </w:r>
      <w:r w:rsidRPr="00CF4791">
        <w:rPr>
          <w:i/>
          <w:szCs w:val="24"/>
        </w:rPr>
        <w:t>Loi</w:t>
      </w:r>
      <w:r w:rsidRPr="00922A86">
        <w:rPr>
          <w:szCs w:val="24"/>
        </w:rPr>
        <w:t xml:space="preserve"> s</w:t>
      </w:r>
      <w:r w:rsidR="00951CA2">
        <w:rPr>
          <w:szCs w:val="24"/>
        </w:rPr>
        <w:t>’</w:t>
      </w:r>
      <w:r w:rsidRPr="00922A86">
        <w:rPr>
          <w:szCs w:val="24"/>
        </w:rPr>
        <w:t>applique uniformément aux supports traditionnels et aux supports plus avancés sur le plan technologique</w:t>
      </w:r>
      <w:r w:rsidRPr="00922A86">
        <w:rPr>
          <w:szCs w:val="24"/>
          <w:lang w:val="fr-FR"/>
        </w:rPr>
        <w:t xml:space="preserve">.  </w:t>
      </w:r>
      <w:r w:rsidR="00DF5BEF" w:rsidRPr="00922A86">
        <w:rPr>
          <w:szCs w:val="24"/>
          <w:lang w:val="fr-FR"/>
        </w:rPr>
        <w:t>Dans les faits, i</w:t>
      </w:r>
      <w:r w:rsidRPr="00922A86">
        <w:rPr>
          <w:szCs w:val="24"/>
        </w:rPr>
        <w:t>l n</w:t>
      </w:r>
      <w:r w:rsidR="00951CA2">
        <w:rPr>
          <w:szCs w:val="24"/>
        </w:rPr>
        <w:t>’</w:t>
      </w:r>
      <w:r w:rsidRPr="00922A86">
        <w:rPr>
          <w:szCs w:val="24"/>
        </w:rPr>
        <w:t>y a aucune différence entre acheter un exemplaire durable de l</w:t>
      </w:r>
      <w:r w:rsidR="00951CA2">
        <w:rPr>
          <w:szCs w:val="24"/>
        </w:rPr>
        <w:t>’</w:t>
      </w:r>
      <w:r w:rsidRPr="00922A86">
        <w:rPr>
          <w:szCs w:val="24"/>
        </w:rPr>
        <w:t>œuvre en magasin, recevoir un exemplaire par la poste ou télécharger une copie identique dans Internet.</w:t>
      </w:r>
      <w:r w:rsidRPr="00922A86">
        <w:rPr>
          <w:szCs w:val="24"/>
          <w:lang w:val="fr-FR"/>
        </w:rPr>
        <w:t xml:space="preserve"> </w:t>
      </w:r>
      <w:r w:rsidR="00DF5BEF" w:rsidRPr="00922A86">
        <w:rPr>
          <w:szCs w:val="24"/>
          <w:lang w:val="fr-FR"/>
        </w:rPr>
        <w:t xml:space="preserve"> </w:t>
      </w:r>
      <w:r w:rsidRPr="00922A86">
        <w:rPr>
          <w:szCs w:val="24"/>
          <w:lang w:val="fr-FR"/>
        </w:rPr>
        <w:t xml:space="preserve">ESA </w:t>
      </w:r>
      <w:r w:rsidR="00DF5BEF" w:rsidRPr="00922A86">
        <w:rPr>
          <w:szCs w:val="24"/>
          <w:lang w:val="fr-FR"/>
        </w:rPr>
        <w:t xml:space="preserve">a </w:t>
      </w:r>
      <w:r w:rsidRPr="00922A86">
        <w:rPr>
          <w:szCs w:val="24"/>
        </w:rPr>
        <w:t xml:space="preserve">déjà </w:t>
      </w:r>
      <w:r w:rsidR="00DF5BEF" w:rsidRPr="00922A86">
        <w:rPr>
          <w:szCs w:val="24"/>
        </w:rPr>
        <w:t xml:space="preserve">versé </w:t>
      </w:r>
      <w:r w:rsidRPr="00922A86">
        <w:rPr>
          <w:szCs w:val="24"/>
        </w:rPr>
        <w:t>aux titulaires du droit d</w:t>
      </w:r>
      <w:r w:rsidR="00951CA2">
        <w:rPr>
          <w:szCs w:val="24"/>
        </w:rPr>
        <w:t>’</w:t>
      </w:r>
      <w:r w:rsidRPr="00922A86">
        <w:rPr>
          <w:szCs w:val="24"/>
        </w:rPr>
        <w:t>auteur des redevances pour la reproduction</w:t>
      </w:r>
      <w:r w:rsidRPr="00922A86">
        <w:rPr>
          <w:szCs w:val="24"/>
          <w:lang w:val="fr-FR"/>
        </w:rPr>
        <w:t xml:space="preserve"> de l</w:t>
      </w:r>
      <w:r w:rsidR="00951CA2">
        <w:rPr>
          <w:szCs w:val="24"/>
          <w:lang w:val="fr-FR"/>
        </w:rPr>
        <w:t>’</w:t>
      </w:r>
      <w:r w:rsidR="00DF5BEF" w:rsidRPr="00922A86">
        <w:rPr>
          <w:szCs w:val="24"/>
          <w:lang w:val="fr-FR"/>
        </w:rPr>
        <w:t>œuvre</w:t>
      </w:r>
      <w:r w:rsidRPr="00922A86">
        <w:rPr>
          <w:szCs w:val="24"/>
          <w:lang w:val="fr-FR"/>
        </w:rPr>
        <w:t xml:space="preserve"> dans le jeu vidéo.  Sauf intention contraire avérée du législateur, nous interprétons la </w:t>
      </w:r>
      <w:r w:rsidRPr="00CF4791">
        <w:rPr>
          <w:i/>
          <w:szCs w:val="24"/>
          <w:lang w:val="fr-FR"/>
        </w:rPr>
        <w:t>Loi</w:t>
      </w:r>
      <w:r w:rsidRPr="00922A86">
        <w:rPr>
          <w:i/>
          <w:szCs w:val="24"/>
          <w:lang w:val="fr-FR"/>
        </w:rPr>
        <w:t xml:space="preserve"> </w:t>
      </w:r>
      <w:r w:rsidRPr="00922A86">
        <w:rPr>
          <w:szCs w:val="24"/>
        </w:rPr>
        <w:t>de manière à ne pas créer un palier supplémentaire de protection et d</w:t>
      </w:r>
      <w:r w:rsidR="00951CA2">
        <w:rPr>
          <w:szCs w:val="24"/>
        </w:rPr>
        <w:t>’</w:t>
      </w:r>
      <w:r w:rsidRPr="00922A86">
        <w:rPr>
          <w:szCs w:val="24"/>
        </w:rPr>
        <w:t xml:space="preserve">exigibilité </w:t>
      </w:r>
      <w:r w:rsidR="00DF5BEF" w:rsidRPr="00922A86">
        <w:rPr>
          <w:szCs w:val="24"/>
        </w:rPr>
        <w:t xml:space="preserve">de </w:t>
      </w:r>
      <w:r w:rsidRPr="00922A86">
        <w:rPr>
          <w:szCs w:val="24"/>
        </w:rPr>
        <w:t>redevance</w:t>
      </w:r>
      <w:r w:rsidR="00DF5BEF" w:rsidRPr="00922A86">
        <w:rPr>
          <w:szCs w:val="24"/>
        </w:rPr>
        <w:t>s</w:t>
      </w:r>
      <w:r w:rsidRPr="00922A86">
        <w:rPr>
          <w:szCs w:val="24"/>
        </w:rPr>
        <w:t xml:space="preserve"> qui soit uniquement fondé sur le mode de livraison de l</w:t>
      </w:r>
      <w:r w:rsidR="00951CA2">
        <w:rPr>
          <w:szCs w:val="24"/>
        </w:rPr>
        <w:t>’</w:t>
      </w:r>
      <w:r w:rsidRPr="00922A86">
        <w:rPr>
          <w:szCs w:val="24"/>
        </w:rPr>
        <w:t>œuvre à l</w:t>
      </w:r>
      <w:r w:rsidR="00951CA2">
        <w:rPr>
          <w:szCs w:val="24"/>
        </w:rPr>
        <w:t>’</w:t>
      </w:r>
      <w:r w:rsidRPr="00922A86">
        <w:rPr>
          <w:szCs w:val="24"/>
        </w:rPr>
        <w:t>utilisateur.</w:t>
      </w:r>
      <w:r w:rsidRPr="00922A86">
        <w:rPr>
          <w:szCs w:val="24"/>
          <w:lang w:val="fr-FR"/>
        </w:rPr>
        <w:t xml:space="preserve">  </w:t>
      </w:r>
      <w:r w:rsidRPr="00922A86">
        <w:rPr>
          <w:szCs w:val="24"/>
        </w:rPr>
        <w:t xml:space="preserve">Toute autre interprétation </w:t>
      </w:r>
      <w:r w:rsidRPr="00922A86">
        <w:rPr>
          <w:szCs w:val="24"/>
        </w:rPr>
        <w:lastRenderedPageBreak/>
        <w:t>imposerait en fait un coût injustifié pour l</w:t>
      </w:r>
      <w:r w:rsidR="00951CA2">
        <w:rPr>
          <w:szCs w:val="24"/>
        </w:rPr>
        <w:t>’</w:t>
      </w:r>
      <w:r w:rsidRPr="00922A86">
        <w:rPr>
          <w:szCs w:val="24"/>
        </w:rPr>
        <w:t xml:space="preserve">utilisation de technologies Internet </w:t>
      </w:r>
      <w:r w:rsidR="002710C4" w:rsidRPr="00922A86">
        <w:rPr>
          <w:szCs w:val="24"/>
        </w:rPr>
        <w:t>à l</w:t>
      </w:r>
      <w:r w:rsidR="00951CA2">
        <w:rPr>
          <w:szCs w:val="24"/>
        </w:rPr>
        <w:t>’</w:t>
      </w:r>
      <w:r w:rsidRPr="00922A86">
        <w:rPr>
          <w:szCs w:val="24"/>
        </w:rPr>
        <w:t>efficac</w:t>
      </w:r>
      <w:r w:rsidR="002710C4" w:rsidRPr="00922A86">
        <w:rPr>
          <w:szCs w:val="24"/>
        </w:rPr>
        <w:t>ité accrue</w:t>
      </w:r>
      <w:r w:rsidRPr="00922A86">
        <w:rPr>
          <w:szCs w:val="24"/>
        </w:rPr>
        <w:t>.</w:t>
      </w:r>
      <w:r w:rsidRPr="00922A86">
        <w:rPr>
          <w:szCs w:val="24"/>
          <w:lang w:val="fr-FR"/>
        </w:rPr>
        <w:t xml:space="preserve">  </w:t>
      </w:r>
      <w:r w:rsidRPr="00922A86">
        <w:rPr>
          <w:szCs w:val="24"/>
        </w:rPr>
        <w:t>Internet doit être considéré comme un taxi technologique assurant la livraison d</w:t>
      </w:r>
      <w:r w:rsidR="00951CA2">
        <w:rPr>
          <w:szCs w:val="24"/>
        </w:rPr>
        <w:t>’</w:t>
      </w:r>
      <w:r w:rsidRPr="00922A86">
        <w:rPr>
          <w:szCs w:val="24"/>
        </w:rPr>
        <w:t>une copie durable de la même œuvre à l</w:t>
      </w:r>
      <w:r w:rsidR="00951CA2">
        <w:rPr>
          <w:szCs w:val="24"/>
        </w:rPr>
        <w:t>’</w:t>
      </w:r>
      <w:r w:rsidRPr="00922A86">
        <w:rPr>
          <w:szCs w:val="24"/>
        </w:rPr>
        <w:t>utilisateur.</w:t>
      </w:r>
      <w:r w:rsidRPr="00922A86">
        <w:rPr>
          <w:szCs w:val="24"/>
          <w:lang w:val="fr-FR"/>
        </w:rPr>
        <w:t xml:space="preserve">  L</w:t>
      </w:r>
      <w:r w:rsidR="00951CA2">
        <w:rPr>
          <w:szCs w:val="24"/>
          <w:lang w:val="fr-FR"/>
        </w:rPr>
        <w:t>’</w:t>
      </w:r>
      <w:r w:rsidRPr="00922A86">
        <w:rPr>
          <w:szCs w:val="24"/>
          <w:lang w:val="fr-FR"/>
        </w:rPr>
        <w:t xml:space="preserve">équilibre </w:t>
      </w:r>
      <w:r w:rsidR="00DF5BEF" w:rsidRPr="00922A86">
        <w:rPr>
          <w:szCs w:val="24"/>
          <w:lang w:val="fr-FR"/>
        </w:rPr>
        <w:t xml:space="preserve">que commande </w:t>
      </w:r>
      <w:r w:rsidRPr="00922A86">
        <w:rPr>
          <w:szCs w:val="24"/>
          <w:lang w:val="fr-FR"/>
        </w:rPr>
        <w:t>traditionnel</w:t>
      </w:r>
      <w:r w:rsidR="00DF5BEF" w:rsidRPr="00922A86">
        <w:rPr>
          <w:szCs w:val="24"/>
          <w:lang w:val="fr-FR"/>
        </w:rPr>
        <w:t>lement</w:t>
      </w:r>
      <w:r w:rsidRPr="00922A86">
        <w:rPr>
          <w:szCs w:val="24"/>
          <w:lang w:val="fr-FR"/>
        </w:rPr>
        <w:t xml:space="preserve"> </w:t>
      </w:r>
      <w:r w:rsidR="00DF5BEF" w:rsidRPr="00922A86">
        <w:rPr>
          <w:szCs w:val="24"/>
          <w:lang w:val="fr-FR"/>
        </w:rPr>
        <w:t>l</w:t>
      </w:r>
      <w:r w:rsidR="00951CA2">
        <w:rPr>
          <w:szCs w:val="24"/>
          <w:lang w:val="fr-FR"/>
        </w:rPr>
        <w:t>’</w:t>
      </w:r>
      <w:r w:rsidRPr="00922A86">
        <w:rPr>
          <w:szCs w:val="24"/>
          <w:lang w:val="fr-FR"/>
        </w:rPr>
        <w:t>application du droit d</w:t>
      </w:r>
      <w:r w:rsidR="00951CA2">
        <w:rPr>
          <w:szCs w:val="24"/>
          <w:lang w:val="fr-FR"/>
        </w:rPr>
        <w:t>’</w:t>
      </w:r>
      <w:r w:rsidRPr="00922A86">
        <w:rPr>
          <w:szCs w:val="24"/>
          <w:lang w:val="fr-FR"/>
        </w:rPr>
        <w:t xml:space="preserve">auteur </w:t>
      </w:r>
      <w:r w:rsidRPr="00922A86">
        <w:rPr>
          <w:szCs w:val="24"/>
        </w:rPr>
        <w:t>entre, d</w:t>
      </w:r>
      <w:r w:rsidR="00951CA2">
        <w:rPr>
          <w:szCs w:val="24"/>
        </w:rPr>
        <w:t>’</w:t>
      </w:r>
      <w:r w:rsidRPr="00922A86">
        <w:rPr>
          <w:szCs w:val="24"/>
        </w:rPr>
        <w:t>une part, la promotion, dans l</w:t>
      </w:r>
      <w:r w:rsidR="00951CA2">
        <w:rPr>
          <w:szCs w:val="24"/>
        </w:rPr>
        <w:t>’</w:t>
      </w:r>
      <w:r w:rsidRPr="00922A86">
        <w:rPr>
          <w:szCs w:val="24"/>
        </w:rPr>
        <w:t>intérêt du public, de la création et de la diffusion des œuvres et, d</w:t>
      </w:r>
      <w:r w:rsidR="00951CA2">
        <w:rPr>
          <w:szCs w:val="24"/>
        </w:rPr>
        <w:t>’</w:t>
      </w:r>
      <w:r w:rsidRPr="00922A86">
        <w:rPr>
          <w:szCs w:val="24"/>
        </w:rPr>
        <w:t>autre part, l</w:t>
      </w:r>
      <w:r w:rsidR="00951CA2">
        <w:rPr>
          <w:szCs w:val="24"/>
        </w:rPr>
        <w:t>’</w:t>
      </w:r>
      <w:r w:rsidRPr="00922A86">
        <w:rPr>
          <w:szCs w:val="24"/>
        </w:rPr>
        <w:t>obtention d</w:t>
      </w:r>
      <w:r w:rsidR="00951CA2">
        <w:rPr>
          <w:szCs w:val="24"/>
        </w:rPr>
        <w:t>’</w:t>
      </w:r>
      <w:r w:rsidRPr="00922A86">
        <w:rPr>
          <w:szCs w:val="24"/>
        </w:rPr>
        <w:t>une juste récompense pour le créateur</w:t>
      </w:r>
      <w:r w:rsidR="00DF5BEF" w:rsidRPr="00922A86">
        <w:rPr>
          <w:szCs w:val="24"/>
        </w:rPr>
        <w:t>,</w:t>
      </w:r>
      <w:r w:rsidRPr="00922A86">
        <w:rPr>
          <w:szCs w:val="24"/>
        </w:rPr>
        <w:t xml:space="preserve"> doit être préservé dans le monde numérique</w:t>
      </w:r>
      <w:r w:rsidRPr="00922A86">
        <w:rPr>
          <w:szCs w:val="24"/>
          <w:lang w:val="fr-FR"/>
        </w:rPr>
        <w:t>.</w:t>
      </w:r>
    </w:p>
    <w:p w:rsidR="00CF7B76" w:rsidRPr="00922A86" w:rsidRDefault="00CF7B76" w:rsidP="002857BC">
      <w:pPr>
        <w:pStyle w:val="SCCNormalDoubleSpacing"/>
        <w:spacing w:after="480"/>
        <w:rPr>
          <w:szCs w:val="24"/>
          <w:lang w:val="fr-FR"/>
        </w:rPr>
      </w:pPr>
      <w:r w:rsidRPr="00922A86">
        <w:rPr>
          <w:szCs w:val="24"/>
          <w:lang w:val="fr-FR"/>
        </w:rPr>
        <w:tab/>
        <w:t>Le verbe « communiquer » employé à l</w:t>
      </w:r>
      <w:r w:rsidR="00951CA2">
        <w:rPr>
          <w:szCs w:val="24"/>
          <w:lang w:val="fr-FR"/>
        </w:rPr>
        <w:t>’</w:t>
      </w:r>
      <w:r w:rsidRPr="00922A86">
        <w:rPr>
          <w:szCs w:val="24"/>
          <w:lang w:val="fr-FR"/>
        </w:rPr>
        <w:t>al. 3(1)</w:t>
      </w:r>
      <w:r w:rsidRPr="00922A86">
        <w:rPr>
          <w:i/>
          <w:szCs w:val="24"/>
          <w:lang w:val="fr-FR"/>
        </w:rPr>
        <w:t>f</w:t>
      </w:r>
      <w:r w:rsidRPr="00922A86">
        <w:rPr>
          <w:szCs w:val="24"/>
          <w:lang w:val="fr-FR"/>
        </w:rPr>
        <w:t>) n</w:t>
      </w:r>
      <w:r w:rsidR="00951CA2">
        <w:rPr>
          <w:szCs w:val="24"/>
          <w:lang w:val="fr-FR"/>
        </w:rPr>
        <w:t>’</w:t>
      </w:r>
      <w:r w:rsidRPr="00922A86">
        <w:rPr>
          <w:szCs w:val="24"/>
          <w:lang w:val="fr-FR"/>
        </w:rPr>
        <w:t xml:space="preserve">est pas défini dans la </w:t>
      </w:r>
      <w:r w:rsidRPr="00CF4791">
        <w:rPr>
          <w:i/>
          <w:szCs w:val="24"/>
          <w:lang w:val="fr-FR"/>
        </w:rPr>
        <w:t>Loi</w:t>
      </w:r>
      <w:r w:rsidRPr="00922A86">
        <w:rPr>
          <w:szCs w:val="24"/>
          <w:lang w:val="fr-FR"/>
        </w:rPr>
        <w:t>, mais l</w:t>
      </w:r>
      <w:r w:rsidR="00951CA2">
        <w:rPr>
          <w:szCs w:val="24"/>
        </w:rPr>
        <w:t>’</w:t>
      </w:r>
      <w:r w:rsidRPr="00922A86">
        <w:rPr>
          <w:szCs w:val="24"/>
        </w:rPr>
        <w:t xml:space="preserve">historique </w:t>
      </w:r>
      <w:r w:rsidR="00DF5BEF" w:rsidRPr="00922A86">
        <w:rPr>
          <w:szCs w:val="24"/>
        </w:rPr>
        <w:t xml:space="preserve">législatif </w:t>
      </w:r>
      <w:r w:rsidRPr="00922A86">
        <w:rPr>
          <w:szCs w:val="24"/>
        </w:rPr>
        <w:t>confirme que le droit de « communiquer » a toujours été lié à celui d</w:t>
      </w:r>
      <w:r w:rsidR="00951CA2">
        <w:rPr>
          <w:szCs w:val="24"/>
        </w:rPr>
        <w:t>’</w:t>
      </w:r>
      <w:r w:rsidRPr="00922A86">
        <w:rPr>
          <w:szCs w:val="24"/>
        </w:rPr>
        <w:t>exécuter ou de représenter une œuvre, et non au droit de créer une copie permanente de l</w:t>
      </w:r>
      <w:r w:rsidR="00951CA2">
        <w:rPr>
          <w:szCs w:val="24"/>
        </w:rPr>
        <w:t>’</w:t>
      </w:r>
      <w:r w:rsidRPr="00922A86">
        <w:rPr>
          <w:szCs w:val="24"/>
        </w:rPr>
        <w:t xml:space="preserve">œuvre.  </w:t>
      </w:r>
      <w:r w:rsidRPr="00922A86">
        <w:rPr>
          <w:szCs w:val="24"/>
          <w:lang w:val="fr-FR"/>
        </w:rPr>
        <w:t xml:space="preserve">La modification apportée </w:t>
      </w:r>
      <w:r w:rsidR="00DF5BEF" w:rsidRPr="00922A86">
        <w:rPr>
          <w:szCs w:val="24"/>
          <w:lang w:val="fr-FR"/>
        </w:rPr>
        <w:t xml:space="preserve">à la </w:t>
      </w:r>
      <w:r w:rsidR="00DF5BEF" w:rsidRPr="00CF4791">
        <w:rPr>
          <w:i/>
          <w:szCs w:val="24"/>
          <w:lang w:val="fr-FR"/>
        </w:rPr>
        <w:t xml:space="preserve">Loi </w:t>
      </w:r>
      <w:r w:rsidRPr="00922A86">
        <w:rPr>
          <w:szCs w:val="24"/>
          <w:lang w:val="fr-FR"/>
        </w:rPr>
        <w:t>en 1988 (substituant à l</w:t>
      </w:r>
      <w:r w:rsidR="00951CA2">
        <w:rPr>
          <w:szCs w:val="24"/>
          <w:lang w:val="fr-FR"/>
        </w:rPr>
        <w:t>’</w:t>
      </w:r>
      <w:r w:rsidRPr="00922A86">
        <w:rPr>
          <w:szCs w:val="24"/>
          <w:lang w:val="fr-FR"/>
        </w:rPr>
        <w:t>expression « au moyen de la radiophonie » le</w:t>
      </w:r>
      <w:r w:rsidR="00DF5BEF" w:rsidRPr="00922A86">
        <w:rPr>
          <w:szCs w:val="24"/>
          <w:lang w:val="fr-FR"/>
        </w:rPr>
        <w:t>s</w:t>
      </w:r>
      <w:r w:rsidRPr="00922A86">
        <w:rPr>
          <w:szCs w:val="24"/>
          <w:lang w:val="fr-FR"/>
        </w:rPr>
        <w:t xml:space="preserve"> </w:t>
      </w:r>
      <w:r w:rsidR="00DF5BEF" w:rsidRPr="00922A86">
        <w:rPr>
          <w:szCs w:val="24"/>
          <w:lang w:val="fr-FR"/>
        </w:rPr>
        <w:t xml:space="preserve">mots </w:t>
      </w:r>
      <w:r w:rsidRPr="00922A86">
        <w:rPr>
          <w:szCs w:val="24"/>
          <w:lang w:val="fr-FR"/>
        </w:rPr>
        <w:t>« par télécommunication ») n</w:t>
      </w:r>
      <w:r w:rsidR="00951CA2">
        <w:rPr>
          <w:szCs w:val="24"/>
          <w:lang w:val="fr-FR"/>
        </w:rPr>
        <w:t>’</w:t>
      </w:r>
      <w:r w:rsidRPr="00922A86">
        <w:rPr>
          <w:szCs w:val="24"/>
        </w:rPr>
        <w:t>atteste pas l</w:t>
      </w:r>
      <w:r w:rsidR="00951CA2">
        <w:rPr>
          <w:szCs w:val="24"/>
        </w:rPr>
        <w:t>’</w:t>
      </w:r>
      <w:r w:rsidRPr="00922A86">
        <w:rPr>
          <w:szCs w:val="24"/>
        </w:rPr>
        <w:t>intention du législateur de supprimer, à l</w:t>
      </w:r>
      <w:r w:rsidR="00951CA2">
        <w:rPr>
          <w:szCs w:val="24"/>
        </w:rPr>
        <w:t>’</w:t>
      </w:r>
      <w:r w:rsidRPr="00922A86">
        <w:rPr>
          <w:szCs w:val="24"/>
        </w:rPr>
        <w:t>al. 3(1)</w:t>
      </w:r>
      <w:r w:rsidRPr="00922A86">
        <w:rPr>
          <w:i/>
          <w:szCs w:val="24"/>
        </w:rPr>
        <w:t>f</w:t>
      </w:r>
      <w:r w:rsidRPr="00922A86">
        <w:rPr>
          <w:szCs w:val="24"/>
        </w:rPr>
        <w:t>), toute mention des activités traditionnelles d</w:t>
      </w:r>
      <w:r w:rsidR="00951CA2">
        <w:rPr>
          <w:szCs w:val="24"/>
        </w:rPr>
        <w:t>’</w:t>
      </w:r>
      <w:r w:rsidRPr="00922A86">
        <w:rPr>
          <w:szCs w:val="24"/>
        </w:rPr>
        <w:t xml:space="preserve">exécution ou de représentation, ou encore, de radiodiffusion, </w:t>
      </w:r>
      <w:r w:rsidR="00DF5BEF" w:rsidRPr="00922A86">
        <w:rPr>
          <w:szCs w:val="24"/>
        </w:rPr>
        <w:t xml:space="preserve">non plus que celle </w:t>
      </w:r>
      <w:r w:rsidRPr="00922A86">
        <w:rPr>
          <w:szCs w:val="24"/>
        </w:rPr>
        <w:t>d</w:t>
      </w:r>
      <w:r w:rsidR="00951CA2">
        <w:rPr>
          <w:szCs w:val="24"/>
        </w:rPr>
        <w:t>’</w:t>
      </w:r>
      <w:r w:rsidRPr="00922A86">
        <w:rPr>
          <w:szCs w:val="24"/>
        </w:rPr>
        <w:t xml:space="preserve">étendre la portée du droit de communication de manière à englober </w:t>
      </w:r>
      <w:r w:rsidR="00DF5BEF" w:rsidRPr="00922A86">
        <w:rPr>
          <w:szCs w:val="24"/>
        </w:rPr>
        <w:t>d</w:t>
      </w:r>
      <w:r w:rsidRPr="00922A86">
        <w:rPr>
          <w:szCs w:val="24"/>
        </w:rPr>
        <w:t>es technologies</w:t>
      </w:r>
      <w:r w:rsidR="00AB38E6" w:rsidRPr="00922A86">
        <w:rPr>
          <w:szCs w:val="24"/>
        </w:rPr>
        <w:t xml:space="preserve"> de transmission de données</w:t>
      </w:r>
      <w:r w:rsidRPr="00922A86">
        <w:rPr>
          <w:szCs w:val="24"/>
        </w:rPr>
        <w:t>, tel le téléchargement, qui permettent à l</w:t>
      </w:r>
      <w:r w:rsidR="00951CA2">
        <w:rPr>
          <w:szCs w:val="24"/>
        </w:rPr>
        <w:t>’</w:t>
      </w:r>
      <w:r w:rsidRPr="00922A86">
        <w:rPr>
          <w:szCs w:val="24"/>
        </w:rPr>
        <w:t>utilisateur de conserver une copie permanente de l</w:t>
      </w:r>
      <w:r w:rsidR="00951CA2">
        <w:rPr>
          <w:szCs w:val="24"/>
        </w:rPr>
        <w:t>’</w:t>
      </w:r>
      <w:r w:rsidRPr="00922A86">
        <w:rPr>
          <w:szCs w:val="24"/>
        </w:rPr>
        <w:t>œuvre.</w:t>
      </w:r>
      <w:r w:rsidRPr="00922A86">
        <w:rPr>
          <w:szCs w:val="24"/>
          <w:lang w:val="fr-FR"/>
        </w:rPr>
        <w:t xml:space="preserve"> </w:t>
      </w:r>
      <w:r w:rsidR="00AB38E6" w:rsidRPr="00922A86">
        <w:rPr>
          <w:szCs w:val="24"/>
          <w:lang w:val="fr-FR"/>
        </w:rPr>
        <w:t xml:space="preserve"> En fait</w:t>
      </w:r>
      <w:r w:rsidRPr="00922A86">
        <w:rPr>
          <w:szCs w:val="24"/>
          <w:lang w:val="fr-FR"/>
        </w:rPr>
        <w:t>, o</w:t>
      </w:r>
      <w:r w:rsidRPr="00922A86">
        <w:rPr>
          <w:szCs w:val="24"/>
        </w:rPr>
        <w:t>n ne doit voir dans le remplacement de « radiophonie » par « télécommunication » que l</w:t>
      </w:r>
      <w:r w:rsidR="00951CA2">
        <w:rPr>
          <w:szCs w:val="24"/>
        </w:rPr>
        <w:t>’</w:t>
      </w:r>
      <w:r w:rsidRPr="00922A86">
        <w:rPr>
          <w:szCs w:val="24"/>
        </w:rPr>
        <w:t xml:space="preserve">élargissement des </w:t>
      </w:r>
      <w:r w:rsidRPr="00922A86">
        <w:rPr>
          <w:i/>
          <w:szCs w:val="24"/>
        </w:rPr>
        <w:t>modes</w:t>
      </w:r>
      <w:r w:rsidRPr="00922A86">
        <w:rPr>
          <w:szCs w:val="24"/>
        </w:rPr>
        <w:t xml:space="preserve"> de communication d</w:t>
      </w:r>
      <w:r w:rsidR="00951CA2">
        <w:rPr>
          <w:szCs w:val="24"/>
        </w:rPr>
        <w:t>’</w:t>
      </w:r>
      <w:r w:rsidRPr="00922A86">
        <w:rPr>
          <w:szCs w:val="24"/>
        </w:rPr>
        <w:t>une œuvre, de sorte qu</w:t>
      </w:r>
      <w:r w:rsidR="00951CA2">
        <w:rPr>
          <w:szCs w:val="24"/>
        </w:rPr>
        <w:t>’</w:t>
      </w:r>
      <w:r w:rsidRPr="00922A86">
        <w:rPr>
          <w:szCs w:val="24"/>
        </w:rPr>
        <w:t>aux ondes radio s</w:t>
      </w:r>
      <w:r w:rsidR="00951CA2">
        <w:rPr>
          <w:szCs w:val="24"/>
        </w:rPr>
        <w:t>’</w:t>
      </w:r>
      <w:r w:rsidRPr="00922A86">
        <w:rPr>
          <w:szCs w:val="24"/>
        </w:rPr>
        <w:t xml:space="preserve">ajoutent la câblodistribution </w:t>
      </w:r>
      <w:r w:rsidR="00AB38E6" w:rsidRPr="00922A86">
        <w:rPr>
          <w:szCs w:val="24"/>
        </w:rPr>
        <w:t xml:space="preserve">ainsi que </w:t>
      </w:r>
      <w:r w:rsidRPr="00922A86">
        <w:rPr>
          <w:szCs w:val="24"/>
        </w:rPr>
        <w:t xml:space="preserve">les nouvelles technologies </w:t>
      </w:r>
      <w:r w:rsidR="00677935" w:rsidRPr="00922A86">
        <w:rPr>
          <w:szCs w:val="24"/>
        </w:rPr>
        <w:t>qui verront le jour</w:t>
      </w:r>
      <w:r w:rsidRPr="00922A86">
        <w:rPr>
          <w:szCs w:val="24"/>
          <w:lang w:val="fr-FR"/>
        </w:rPr>
        <w:t xml:space="preserve">.  </w:t>
      </w:r>
      <w:r w:rsidRPr="00922A86">
        <w:rPr>
          <w:szCs w:val="24"/>
        </w:rPr>
        <w:t>Lorsqu</w:t>
      </w:r>
      <w:r w:rsidR="00951CA2">
        <w:rPr>
          <w:szCs w:val="24"/>
        </w:rPr>
        <w:t>’</w:t>
      </w:r>
      <w:r w:rsidRPr="00922A86">
        <w:rPr>
          <w:szCs w:val="24"/>
        </w:rPr>
        <w:t>il a substitué le mot « télécommunication » en 1988, le législateur n</w:t>
      </w:r>
      <w:r w:rsidR="00951CA2">
        <w:rPr>
          <w:szCs w:val="24"/>
        </w:rPr>
        <w:t>’</w:t>
      </w:r>
      <w:r w:rsidRPr="00922A86">
        <w:rPr>
          <w:szCs w:val="24"/>
        </w:rPr>
        <w:t>avait pas l</w:t>
      </w:r>
      <w:r w:rsidR="00951CA2">
        <w:rPr>
          <w:szCs w:val="24"/>
        </w:rPr>
        <w:t>’</w:t>
      </w:r>
      <w:r w:rsidRPr="00922A86">
        <w:rPr>
          <w:szCs w:val="24"/>
        </w:rPr>
        <w:t xml:space="preserve">intention de changer la </w:t>
      </w:r>
      <w:r w:rsidRPr="00922A86">
        <w:rPr>
          <w:szCs w:val="24"/>
        </w:rPr>
        <w:lastRenderedPageBreak/>
        <w:t>nature fondamentale du droit de communication, lequel se rapportait depuis plus de 50 ans aux activités d</w:t>
      </w:r>
      <w:r w:rsidR="00951CA2">
        <w:rPr>
          <w:szCs w:val="24"/>
        </w:rPr>
        <w:t>’</w:t>
      </w:r>
      <w:r w:rsidRPr="00922A86">
        <w:rPr>
          <w:szCs w:val="24"/>
        </w:rPr>
        <w:t>exécution ou de représentation.</w:t>
      </w:r>
      <w:r w:rsidRPr="00922A86">
        <w:rPr>
          <w:szCs w:val="24"/>
          <w:lang w:val="fr-FR"/>
        </w:rPr>
        <w:t xml:space="preserve">  </w:t>
      </w:r>
    </w:p>
    <w:p w:rsidR="00CF7B76" w:rsidRPr="00922A86" w:rsidRDefault="00CF7B76" w:rsidP="002857BC">
      <w:pPr>
        <w:pStyle w:val="SCCNormalDoubleSpacing"/>
        <w:spacing w:after="480"/>
        <w:rPr>
          <w:szCs w:val="24"/>
          <w:lang w:val="fr-FR"/>
        </w:rPr>
      </w:pPr>
      <w:r w:rsidRPr="00922A86">
        <w:rPr>
          <w:szCs w:val="24"/>
          <w:lang w:val="fr-FR"/>
        </w:rPr>
        <w:tab/>
        <w:t>L</w:t>
      </w:r>
      <w:r w:rsidR="00951CA2">
        <w:rPr>
          <w:szCs w:val="24"/>
          <w:lang w:val="fr-FR"/>
        </w:rPr>
        <w:t>’</w:t>
      </w:r>
      <w:r w:rsidRPr="00922A86">
        <w:rPr>
          <w:szCs w:val="24"/>
          <w:lang w:val="fr-FR"/>
        </w:rPr>
        <w:t xml:space="preserve">effet du recours </w:t>
      </w:r>
      <w:r w:rsidR="002710C4" w:rsidRPr="00922A86">
        <w:rPr>
          <w:szCs w:val="24"/>
          <w:lang w:val="fr-FR"/>
        </w:rPr>
        <w:t xml:space="preserve">à la </w:t>
      </w:r>
      <w:r w:rsidR="002710C4" w:rsidRPr="00922A86">
        <w:rPr>
          <w:szCs w:val="24"/>
        </w:rPr>
        <w:t>définition</w:t>
      </w:r>
      <w:r w:rsidRPr="00922A86">
        <w:rPr>
          <w:szCs w:val="24"/>
        </w:rPr>
        <w:t xml:space="preserve"> lexicographique du verbe « communiquer » est de faire abstraction du long historique législatif qui relie fermement ce terme aux activités d</w:t>
      </w:r>
      <w:r w:rsidR="00951CA2">
        <w:rPr>
          <w:szCs w:val="24"/>
        </w:rPr>
        <w:t>’</w:t>
      </w:r>
      <w:r w:rsidRPr="00922A86">
        <w:rPr>
          <w:szCs w:val="24"/>
        </w:rPr>
        <w:t>exécution ou de représentation.</w:t>
      </w:r>
      <w:r w:rsidRPr="00922A86">
        <w:rPr>
          <w:szCs w:val="24"/>
          <w:lang w:val="fr-FR"/>
        </w:rPr>
        <w:t xml:space="preserve"> </w:t>
      </w:r>
      <w:r w:rsidR="002857BC" w:rsidRPr="00922A86">
        <w:rPr>
          <w:szCs w:val="24"/>
          <w:lang w:val="fr-FR"/>
        </w:rPr>
        <w:t xml:space="preserve"> </w:t>
      </w:r>
      <w:r w:rsidRPr="00922A86">
        <w:rPr>
          <w:szCs w:val="24"/>
          <w:lang w:val="fr-FR"/>
        </w:rPr>
        <w:t>L</w:t>
      </w:r>
      <w:r w:rsidRPr="00922A86">
        <w:rPr>
          <w:szCs w:val="24"/>
        </w:rPr>
        <w:t>e verbe « communiquer » employé à l</w:t>
      </w:r>
      <w:r w:rsidR="00951CA2">
        <w:rPr>
          <w:szCs w:val="24"/>
        </w:rPr>
        <w:t>’</w:t>
      </w:r>
      <w:r w:rsidRPr="00922A86">
        <w:rPr>
          <w:szCs w:val="24"/>
        </w:rPr>
        <w:t>al. 3(1)</w:t>
      </w:r>
      <w:r w:rsidRPr="00922A86">
        <w:rPr>
          <w:i/>
          <w:szCs w:val="24"/>
        </w:rPr>
        <w:t>f</w:t>
      </w:r>
      <w:r w:rsidRPr="00922A86">
        <w:rPr>
          <w:szCs w:val="24"/>
        </w:rPr>
        <w:t>) ne doit pas être transformé par la présence du mot « télécommunication » de telle sorte qu</w:t>
      </w:r>
      <w:r w:rsidR="00951CA2">
        <w:rPr>
          <w:szCs w:val="24"/>
        </w:rPr>
        <w:t>’</w:t>
      </w:r>
      <w:r w:rsidRPr="00922A86">
        <w:rPr>
          <w:szCs w:val="24"/>
        </w:rPr>
        <w:t>il englobe des activités apparentées à la reproduction.</w:t>
      </w:r>
      <w:r w:rsidR="002857BC" w:rsidRPr="00922A86">
        <w:rPr>
          <w:szCs w:val="24"/>
        </w:rPr>
        <w:t xml:space="preserve"> </w:t>
      </w:r>
      <w:r w:rsidRPr="00922A86">
        <w:rPr>
          <w:szCs w:val="24"/>
          <w:lang w:val="fr-FR"/>
        </w:rPr>
        <w:t xml:space="preserve"> </w:t>
      </w:r>
      <w:r w:rsidRPr="00922A86">
        <w:rPr>
          <w:szCs w:val="24"/>
        </w:rPr>
        <w:t>Une telle mutation équivaudrait à l</w:t>
      </w:r>
      <w:r w:rsidR="00951CA2">
        <w:rPr>
          <w:szCs w:val="24"/>
        </w:rPr>
        <w:t>’</w:t>
      </w:r>
      <w:r w:rsidRPr="00922A86">
        <w:rPr>
          <w:szCs w:val="24"/>
        </w:rPr>
        <w:t xml:space="preserve">abandon de la distinction traditionnelle établie dans la </w:t>
      </w:r>
      <w:r w:rsidRPr="00CF4791">
        <w:rPr>
          <w:i/>
          <w:szCs w:val="24"/>
        </w:rPr>
        <w:t>Loi</w:t>
      </w:r>
      <w:r w:rsidRPr="00922A86">
        <w:rPr>
          <w:szCs w:val="24"/>
        </w:rPr>
        <w:t xml:space="preserve"> entre droit d</w:t>
      </w:r>
      <w:r w:rsidR="00951CA2">
        <w:rPr>
          <w:szCs w:val="24"/>
        </w:rPr>
        <w:t>’</w:t>
      </w:r>
      <w:r w:rsidRPr="00922A86">
        <w:rPr>
          <w:szCs w:val="24"/>
        </w:rPr>
        <w:t>exécution ou de représentation et droit de reproduction.</w:t>
      </w:r>
    </w:p>
    <w:p w:rsidR="00CF7B76" w:rsidRPr="00922A86" w:rsidRDefault="00CF7B76" w:rsidP="00CF7B76">
      <w:pPr>
        <w:pStyle w:val="SCCNormalDoubleSpacing"/>
        <w:spacing w:after="480"/>
        <w:rPr>
          <w:szCs w:val="24"/>
          <w:lang w:val="fr-FR"/>
        </w:rPr>
      </w:pPr>
      <w:r w:rsidRPr="003E22BD">
        <w:rPr>
          <w:i/>
          <w:szCs w:val="24"/>
          <w:lang w:val="fr-FR"/>
        </w:rPr>
        <w:tab/>
        <w:t>Les</w:t>
      </w:r>
      <w:r w:rsidRPr="00EF56E4">
        <w:rPr>
          <w:szCs w:val="24"/>
          <w:lang w:val="fr-FR"/>
        </w:rPr>
        <w:t xml:space="preserve"> juges</w:t>
      </w:r>
      <w:r w:rsidRPr="00922A86">
        <w:rPr>
          <w:szCs w:val="24"/>
          <w:lang w:val="fr-FR"/>
        </w:rPr>
        <w:t xml:space="preserve"> </w:t>
      </w:r>
      <w:proofErr w:type="spellStart"/>
      <w:r w:rsidRPr="00922A86">
        <w:rPr>
          <w:szCs w:val="24"/>
          <w:lang w:val="fr-FR"/>
        </w:rPr>
        <w:t>LeBel</w:t>
      </w:r>
      <w:proofErr w:type="spellEnd"/>
      <w:r w:rsidRPr="00922A86">
        <w:rPr>
          <w:szCs w:val="24"/>
          <w:lang w:val="fr-FR"/>
        </w:rPr>
        <w:t xml:space="preserve">, Fish, </w:t>
      </w:r>
      <w:proofErr w:type="spellStart"/>
      <w:r w:rsidRPr="00EF56E4">
        <w:rPr>
          <w:szCs w:val="24"/>
          <w:lang w:val="fr-FR"/>
        </w:rPr>
        <w:t>Rothstein</w:t>
      </w:r>
      <w:proofErr w:type="spellEnd"/>
      <w:r w:rsidRPr="00922A86">
        <w:rPr>
          <w:szCs w:val="24"/>
          <w:lang w:val="fr-FR"/>
        </w:rPr>
        <w:t xml:space="preserve"> et Cromwell </w:t>
      </w:r>
      <w:r w:rsidR="00E67A5E" w:rsidRPr="00922A86">
        <w:rPr>
          <w:szCs w:val="24"/>
          <w:lang w:val="fr-FR"/>
        </w:rPr>
        <w:t>(</w:t>
      </w:r>
      <w:r w:rsidRPr="00922A86">
        <w:rPr>
          <w:szCs w:val="24"/>
          <w:lang w:val="fr-FR"/>
        </w:rPr>
        <w:t>dissidents</w:t>
      </w:r>
      <w:r w:rsidR="00E67A5E" w:rsidRPr="00922A86">
        <w:rPr>
          <w:szCs w:val="24"/>
          <w:lang w:val="fr-FR"/>
        </w:rPr>
        <w:t>)</w:t>
      </w:r>
      <w:r w:rsidRPr="00922A86">
        <w:rPr>
          <w:szCs w:val="24"/>
          <w:lang w:val="fr-FR"/>
        </w:rPr>
        <w:t xml:space="preserve"> : L</w:t>
      </w:r>
      <w:r w:rsidR="00951CA2">
        <w:rPr>
          <w:szCs w:val="24"/>
          <w:lang w:val="fr-FR"/>
        </w:rPr>
        <w:t>’</w:t>
      </w:r>
      <w:r w:rsidRPr="00922A86">
        <w:rPr>
          <w:szCs w:val="24"/>
          <w:lang w:val="fr-FR"/>
        </w:rPr>
        <w:t>auteur d</w:t>
      </w:r>
      <w:r w:rsidR="00951CA2">
        <w:rPr>
          <w:szCs w:val="24"/>
          <w:lang w:val="fr-FR"/>
        </w:rPr>
        <w:t>’</w:t>
      </w:r>
      <w:r w:rsidRPr="00922A86">
        <w:rPr>
          <w:szCs w:val="24"/>
          <w:lang w:val="fr-FR"/>
        </w:rPr>
        <w:t xml:space="preserve">une </w:t>
      </w:r>
      <w:r w:rsidR="00BF3BE1" w:rsidRPr="00922A86">
        <w:rPr>
          <w:szCs w:val="24"/>
          <w:lang w:val="fr-FR"/>
        </w:rPr>
        <w:t>œuvre</w:t>
      </w:r>
      <w:r w:rsidRPr="00922A86">
        <w:rPr>
          <w:szCs w:val="24"/>
          <w:lang w:val="fr-FR"/>
        </w:rPr>
        <w:t xml:space="preserve"> téléchargée sur Internet a droit à des redevances </w:t>
      </w:r>
      <w:r w:rsidR="002710C4" w:rsidRPr="00922A86">
        <w:rPr>
          <w:szCs w:val="24"/>
          <w:lang w:val="fr-FR"/>
        </w:rPr>
        <w:t xml:space="preserve">à la fois </w:t>
      </w:r>
      <w:r w:rsidRPr="00922A86">
        <w:rPr>
          <w:szCs w:val="24"/>
          <w:lang w:val="fr-FR"/>
        </w:rPr>
        <w:t xml:space="preserve">pour la communication et </w:t>
      </w:r>
      <w:r w:rsidR="002710C4" w:rsidRPr="00922A86">
        <w:rPr>
          <w:szCs w:val="24"/>
          <w:lang w:val="fr-FR"/>
        </w:rPr>
        <w:t xml:space="preserve">pour </w:t>
      </w:r>
      <w:r w:rsidRPr="00922A86">
        <w:rPr>
          <w:szCs w:val="24"/>
          <w:lang w:val="fr-FR"/>
        </w:rPr>
        <w:t>la reproduction.  Le droit d</w:t>
      </w:r>
      <w:r w:rsidR="00951CA2">
        <w:rPr>
          <w:szCs w:val="24"/>
          <w:lang w:val="fr-FR"/>
        </w:rPr>
        <w:t>’</w:t>
      </w:r>
      <w:r w:rsidRPr="00922A86">
        <w:rPr>
          <w:szCs w:val="24"/>
          <w:lang w:val="fr-FR"/>
        </w:rPr>
        <w:t>auteur tire son origine de la loi et il est constitué d</w:t>
      </w:r>
      <w:r w:rsidR="00951CA2">
        <w:rPr>
          <w:szCs w:val="24"/>
          <w:lang w:val="fr-FR"/>
        </w:rPr>
        <w:t>’</w:t>
      </w:r>
      <w:r w:rsidRPr="00922A86">
        <w:rPr>
          <w:szCs w:val="24"/>
          <w:lang w:val="fr-FR"/>
        </w:rPr>
        <w:t>un ensemble de droits légaux distincts.  Même si</w:t>
      </w:r>
      <w:r w:rsidR="002857BC" w:rsidRPr="00922A86">
        <w:rPr>
          <w:szCs w:val="24"/>
          <w:lang w:val="fr-FR"/>
        </w:rPr>
        <w:t xml:space="preserve"> </w:t>
      </w:r>
      <w:r w:rsidRPr="00922A86">
        <w:rPr>
          <w:szCs w:val="24"/>
          <w:lang w:val="fr-FR"/>
        </w:rPr>
        <w:t>la neutralité technologique est souhaitable en matière de droit d</w:t>
      </w:r>
      <w:r w:rsidR="00951CA2">
        <w:rPr>
          <w:szCs w:val="24"/>
          <w:lang w:val="fr-FR"/>
        </w:rPr>
        <w:t>’</w:t>
      </w:r>
      <w:r w:rsidRPr="00922A86">
        <w:rPr>
          <w:szCs w:val="24"/>
          <w:lang w:val="fr-FR"/>
        </w:rPr>
        <w:t xml:space="preserve">auteur, la </w:t>
      </w:r>
      <w:r w:rsidRPr="00CF4791">
        <w:rPr>
          <w:i/>
          <w:szCs w:val="24"/>
          <w:lang w:val="fr-FR"/>
        </w:rPr>
        <w:t>Loi</w:t>
      </w:r>
      <w:r w:rsidRPr="00922A86">
        <w:rPr>
          <w:szCs w:val="24"/>
          <w:lang w:val="fr-FR"/>
        </w:rPr>
        <w:t xml:space="preserve"> ne doit pas être interprétée de manière à </w:t>
      </w:r>
      <w:r w:rsidRPr="00922A86">
        <w:rPr>
          <w:szCs w:val="24"/>
        </w:rPr>
        <w:t>dépouiller ces droits de leur objet distinct.</w:t>
      </w:r>
      <w:r w:rsidRPr="00922A86">
        <w:rPr>
          <w:szCs w:val="24"/>
          <w:lang w:val="fr-FR"/>
        </w:rPr>
        <w:t xml:space="preserve">  L</w:t>
      </w:r>
      <w:r w:rsidRPr="00922A86">
        <w:rPr>
          <w:szCs w:val="24"/>
        </w:rPr>
        <w:t>e droit de reproduction demeure applicable à l</w:t>
      </w:r>
      <w:r w:rsidR="00951CA2">
        <w:rPr>
          <w:szCs w:val="24"/>
        </w:rPr>
        <w:t>’</w:t>
      </w:r>
      <w:r w:rsidRPr="00922A86">
        <w:rPr>
          <w:szCs w:val="24"/>
        </w:rPr>
        <w:t>exemplaire obtenu par téléchargement même si celui</w:t>
      </w:r>
      <w:r w:rsidR="002F38C1">
        <w:rPr>
          <w:szCs w:val="24"/>
        </w:rPr>
        <w:t>-</w:t>
      </w:r>
      <w:r w:rsidRPr="00922A86">
        <w:rPr>
          <w:szCs w:val="24"/>
        </w:rPr>
        <w:t>ci est numérique, et le droit de communication s</w:t>
      </w:r>
      <w:r w:rsidR="00951CA2">
        <w:rPr>
          <w:szCs w:val="24"/>
        </w:rPr>
        <w:t>’</w:t>
      </w:r>
      <w:r w:rsidRPr="00922A86">
        <w:rPr>
          <w:szCs w:val="24"/>
        </w:rPr>
        <w:t>applique toujours aux communications numériques</w:t>
      </w:r>
      <w:r w:rsidR="002857BC" w:rsidRPr="00922A86">
        <w:rPr>
          <w:szCs w:val="24"/>
        </w:rPr>
        <w:t xml:space="preserve"> même si </w:t>
      </w:r>
      <w:r w:rsidRPr="00922A86">
        <w:rPr>
          <w:szCs w:val="24"/>
        </w:rPr>
        <w:t xml:space="preserve">elles </w:t>
      </w:r>
      <w:r w:rsidR="002857BC" w:rsidRPr="00922A86">
        <w:rPr>
          <w:szCs w:val="24"/>
        </w:rPr>
        <w:t xml:space="preserve">peuvent </w:t>
      </w:r>
      <w:r w:rsidRPr="00922A86">
        <w:rPr>
          <w:szCs w:val="24"/>
        </w:rPr>
        <w:t>différer des technologies de diffusion traditionnelles.</w:t>
      </w:r>
      <w:r w:rsidRPr="00922A86">
        <w:rPr>
          <w:szCs w:val="24"/>
          <w:lang w:val="fr-FR"/>
        </w:rPr>
        <w:t xml:space="preserve">  </w:t>
      </w:r>
    </w:p>
    <w:p w:rsidR="00E61CFD" w:rsidRPr="00922A86" w:rsidRDefault="00CF7B76" w:rsidP="00BF3BE1">
      <w:pPr>
        <w:pStyle w:val="SCCNormalDoubleSpacing"/>
        <w:spacing w:after="480"/>
        <w:rPr>
          <w:szCs w:val="24"/>
          <w:lang w:val="fr-FR"/>
        </w:rPr>
      </w:pPr>
      <w:r w:rsidRPr="00922A86">
        <w:rPr>
          <w:szCs w:val="24"/>
          <w:lang w:val="fr-FR"/>
        </w:rPr>
        <w:lastRenderedPageBreak/>
        <w:tab/>
        <w:t xml:space="preserve">Suivant les </w:t>
      </w:r>
      <w:r w:rsidRPr="00922A86">
        <w:rPr>
          <w:szCs w:val="24"/>
        </w:rPr>
        <w:t>règles générales d</w:t>
      </w:r>
      <w:r w:rsidR="00951CA2">
        <w:rPr>
          <w:szCs w:val="24"/>
        </w:rPr>
        <w:t>’</w:t>
      </w:r>
      <w:r w:rsidRPr="00922A86">
        <w:rPr>
          <w:szCs w:val="24"/>
        </w:rPr>
        <w:t>interprétation législative, il faut lire les termes d</w:t>
      </w:r>
      <w:r w:rsidR="00951CA2">
        <w:rPr>
          <w:szCs w:val="24"/>
        </w:rPr>
        <w:t>’</w:t>
      </w:r>
      <w:r w:rsidRPr="00922A86">
        <w:rPr>
          <w:szCs w:val="24"/>
        </w:rPr>
        <w:t>une loi dans leur contexte global en suivant le sens ordinaire et grammatical qui s</w:t>
      </w:r>
      <w:r w:rsidR="00951CA2">
        <w:rPr>
          <w:szCs w:val="24"/>
        </w:rPr>
        <w:t>’</w:t>
      </w:r>
      <w:r w:rsidRPr="00922A86">
        <w:rPr>
          <w:szCs w:val="24"/>
        </w:rPr>
        <w:t>harmonise avec l</w:t>
      </w:r>
      <w:r w:rsidR="00951CA2">
        <w:rPr>
          <w:szCs w:val="24"/>
        </w:rPr>
        <w:t>’</w:t>
      </w:r>
      <w:r w:rsidRPr="00922A86">
        <w:rPr>
          <w:szCs w:val="24"/>
        </w:rPr>
        <w:t>esprit de la loi, l</w:t>
      </w:r>
      <w:r w:rsidR="00951CA2">
        <w:rPr>
          <w:szCs w:val="24"/>
        </w:rPr>
        <w:t>’</w:t>
      </w:r>
      <w:r w:rsidRPr="00922A86">
        <w:rPr>
          <w:szCs w:val="24"/>
        </w:rPr>
        <w:t>objet de la loi et l</w:t>
      </w:r>
      <w:r w:rsidR="00951CA2">
        <w:rPr>
          <w:szCs w:val="24"/>
        </w:rPr>
        <w:t>’</w:t>
      </w:r>
      <w:r w:rsidRPr="00922A86">
        <w:rPr>
          <w:szCs w:val="24"/>
        </w:rPr>
        <w:t>intention du législateur.</w:t>
      </w:r>
      <w:r w:rsidRPr="00922A86">
        <w:rPr>
          <w:szCs w:val="24"/>
          <w:lang w:val="fr-FR"/>
        </w:rPr>
        <w:t xml:space="preserve">  Le mot « communiquer » n</w:t>
      </w:r>
      <w:r w:rsidR="00951CA2">
        <w:rPr>
          <w:szCs w:val="24"/>
          <w:lang w:val="fr-FR"/>
        </w:rPr>
        <w:t>’</w:t>
      </w:r>
      <w:r w:rsidRPr="00922A86">
        <w:rPr>
          <w:szCs w:val="24"/>
          <w:lang w:val="fr-FR"/>
        </w:rPr>
        <w:t xml:space="preserve">est pas défini dans la </w:t>
      </w:r>
      <w:r w:rsidRPr="00CF4791">
        <w:rPr>
          <w:i/>
          <w:szCs w:val="24"/>
          <w:lang w:val="fr-FR"/>
        </w:rPr>
        <w:t>Loi</w:t>
      </w:r>
      <w:r w:rsidRPr="00922A86">
        <w:rPr>
          <w:szCs w:val="24"/>
          <w:lang w:val="fr-FR"/>
        </w:rPr>
        <w:t xml:space="preserve">. </w:t>
      </w:r>
      <w:r w:rsidR="002857BC" w:rsidRPr="00922A86">
        <w:rPr>
          <w:szCs w:val="24"/>
          <w:lang w:val="fr-FR"/>
        </w:rPr>
        <w:t xml:space="preserve"> </w:t>
      </w:r>
      <w:r w:rsidRPr="00922A86">
        <w:rPr>
          <w:szCs w:val="24"/>
          <w:lang w:val="fr-FR"/>
        </w:rPr>
        <w:t>Le législateur est présumé employer les mots dans leur sens ordinaire</w:t>
      </w:r>
      <w:r w:rsidR="002857BC" w:rsidRPr="00922A86">
        <w:rPr>
          <w:szCs w:val="24"/>
          <w:lang w:val="fr-FR"/>
        </w:rPr>
        <w:t xml:space="preserve">.  Suivant </w:t>
      </w:r>
      <w:r w:rsidRPr="00922A86">
        <w:rPr>
          <w:szCs w:val="24"/>
          <w:lang w:val="fr-FR"/>
        </w:rPr>
        <w:t>les définitions lexicographiques</w:t>
      </w:r>
      <w:r w:rsidR="002857BC" w:rsidRPr="00922A86">
        <w:rPr>
          <w:szCs w:val="24"/>
          <w:lang w:val="fr-FR"/>
        </w:rPr>
        <w:t>,</w:t>
      </w:r>
      <w:r w:rsidRPr="00922A86">
        <w:rPr>
          <w:szCs w:val="24"/>
          <w:lang w:val="fr-FR"/>
        </w:rPr>
        <w:t xml:space="preserve"> </w:t>
      </w:r>
      <w:r w:rsidR="002857BC" w:rsidRPr="00922A86">
        <w:rPr>
          <w:szCs w:val="24"/>
          <w:lang w:val="fr-FR"/>
        </w:rPr>
        <w:t>il y a chevauchement sémantique entre l</w:t>
      </w:r>
      <w:r w:rsidRPr="00922A86">
        <w:rPr>
          <w:szCs w:val="24"/>
          <w:lang w:val="fr-FR"/>
        </w:rPr>
        <w:t xml:space="preserve">es verbes « communiquer » et « transmettre ». </w:t>
      </w:r>
      <w:r w:rsidR="002857BC" w:rsidRPr="00922A86">
        <w:rPr>
          <w:szCs w:val="24"/>
          <w:lang w:val="fr-FR"/>
        </w:rPr>
        <w:t xml:space="preserve"> Aucun élément du </w:t>
      </w:r>
      <w:r w:rsidRPr="00922A86">
        <w:rPr>
          <w:rStyle w:val="ssens"/>
          <w:szCs w:val="24"/>
          <w:lang w:val="fr-FR"/>
        </w:rPr>
        <w:t xml:space="preserve">contexte dans lequel ces termes sont employés dans la </w:t>
      </w:r>
      <w:r w:rsidRPr="00CF4791">
        <w:rPr>
          <w:rStyle w:val="ssens"/>
          <w:i/>
          <w:szCs w:val="24"/>
          <w:lang w:val="fr-FR"/>
        </w:rPr>
        <w:t>Loi</w:t>
      </w:r>
      <w:r w:rsidRPr="00922A86">
        <w:rPr>
          <w:rStyle w:val="ssens"/>
          <w:szCs w:val="24"/>
          <w:lang w:val="fr-FR"/>
        </w:rPr>
        <w:t xml:space="preserve"> ne </w:t>
      </w:r>
      <w:r w:rsidR="002857BC" w:rsidRPr="00922A86">
        <w:rPr>
          <w:rStyle w:val="ssens"/>
          <w:szCs w:val="24"/>
          <w:lang w:val="fr-FR"/>
        </w:rPr>
        <w:t xml:space="preserve">permet de conclure </w:t>
      </w:r>
      <w:r w:rsidRPr="00922A86">
        <w:rPr>
          <w:rStyle w:val="ssens"/>
          <w:szCs w:val="24"/>
          <w:lang w:val="fr-FR"/>
        </w:rPr>
        <w:t>que « communiquer » n</w:t>
      </w:r>
      <w:r w:rsidR="00951CA2">
        <w:rPr>
          <w:rStyle w:val="ssens"/>
          <w:szCs w:val="24"/>
          <w:lang w:val="fr-FR"/>
        </w:rPr>
        <w:t>’</w:t>
      </w:r>
      <w:r w:rsidRPr="00922A86">
        <w:rPr>
          <w:rStyle w:val="ssens"/>
          <w:szCs w:val="24"/>
          <w:lang w:val="fr-FR"/>
        </w:rPr>
        <w:t xml:space="preserve">a pas le même sens que « transmettre » ou </w:t>
      </w:r>
      <w:r w:rsidR="002857BC" w:rsidRPr="00922A86">
        <w:rPr>
          <w:rStyle w:val="ssens"/>
          <w:szCs w:val="24"/>
          <w:lang w:val="fr-FR"/>
        </w:rPr>
        <w:t>qu</w:t>
      </w:r>
      <w:r w:rsidR="00951CA2">
        <w:rPr>
          <w:rStyle w:val="ssens"/>
          <w:szCs w:val="24"/>
          <w:lang w:val="fr-FR"/>
        </w:rPr>
        <w:t>’</w:t>
      </w:r>
      <w:r w:rsidR="002857BC" w:rsidRPr="00922A86">
        <w:rPr>
          <w:rStyle w:val="ssens"/>
          <w:szCs w:val="24"/>
          <w:lang w:val="fr-FR"/>
        </w:rPr>
        <w:t xml:space="preserve">il </w:t>
      </w:r>
      <w:r w:rsidRPr="00922A86">
        <w:rPr>
          <w:rStyle w:val="ssens"/>
          <w:szCs w:val="24"/>
          <w:lang w:val="fr-FR"/>
        </w:rPr>
        <w:t>ne s</w:t>
      </w:r>
      <w:r w:rsidR="00951CA2">
        <w:rPr>
          <w:rStyle w:val="ssens"/>
          <w:szCs w:val="24"/>
          <w:lang w:val="fr-FR"/>
        </w:rPr>
        <w:t>’</w:t>
      </w:r>
      <w:r w:rsidRPr="00922A86">
        <w:rPr>
          <w:rStyle w:val="ssens"/>
          <w:szCs w:val="24"/>
          <w:lang w:val="fr-FR"/>
        </w:rPr>
        <w:t>entend que de la transmission d</w:t>
      </w:r>
      <w:r w:rsidR="00951CA2">
        <w:rPr>
          <w:rStyle w:val="ssens"/>
          <w:szCs w:val="24"/>
          <w:lang w:val="fr-FR"/>
        </w:rPr>
        <w:t>’</w:t>
      </w:r>
      <w:r w:rsidRPr="00922A86">
        <w:rPr>
          <w:szCs w:val="24"/>
        </w:rPr>
        <w:t>une information sous une forme perceptible par l</w:t>
      </w:r>
      <w:r w:rsidR="00951CA2">
        <w:rPr>
          <w:szCs w:val="24"/>
        </w:rPr>
        <w:t>’</w:t>
      </w:r>
      <w:r w:rsidRPr="00922A86">
        <w:rPr>
          <w:szCs w:val="24"/>
        </w:rPr>
        <w:t>être humain pour écoute ou visualisation immédiates</w:t>
      </w:r>
      <w:r w:rsidRPr="00922A86">
        <w:rPr>
          <w:szCs w:val="24"/>
          <w:lang w:val="fr-FR"/>
        </w:rPr>
        <w:t>.</w:t>
      </w:r>
    </w:p>
    <w:p w:rsidR="00E61CFD" w:rsidRPr="00922A86" w:rsidRDefault="002857BC" w:rsidP="00CF7B76">
      <w:pPr>
        <w:pStyle w:val="SCCNormalDoubleSpacing"/>
        <w:spacing w:after="480"/>
        <w:rPr>
          <w:szCs w:val="24"/>
          <w:lang w:val="fr-FR"/>
        </w:rPr>
      </w:pPr>
      <w:r w:rsidRPr="00922A86">
        <w:rPr>
          <w:szCs w:val="24"/>
          <w:lang w:val="fr-FR"/>
        </w:rPr>
        <w:tab/>
      </w:r>
      <w:r w:rsidR="00CF7B76" w:rsidRPr="00922A86">
        <w:rPr>
          <w:szCs w:val="24"/>
        </w:rPr>
        <w:t>Le droit de communication prévu à l</w:t>
      </w:r>
      <w:r w:rsidR="00951CA2">
        <w:rPr>
          <w:szCs w:val="24"/>
        </w:rPr>
        <w:t>’</w:t>
      </w:r>
      <w:r w:rsidR="00EF56E4">
        <w:rPr>
          <w:szCs w:val="24"/>
        </w:rPr>
        <w:t>al. 3(1)</w:t>
      </w:r>
      <w:r w:rsidR="00CF7B76" w:rsidRPr="00922A86">
        <w:rPr>
          <w:i/>
          <w:szCs w:val="24"/>
        </w:rPr>
        <w:t>f</w:t>
      </w:r>
      <w:r w:rsidR="00CF7B76" w:rsidRPr="00922A86">
        <w:rPr>
          <w:szCs w:val="24"/>
        </w:rPr>
        <w:t xml:space="preserve">) de la </w:t>
      </w:r>
      <w:r w:rsidR="00CF7B76" w:rsidRPr="00CF4791">
        <w:rPr>
          <w:i/>
          <w:szCs w:val="24"/>
        </w:rPr>
        <w:t>Loi</w:t>
      </w:r>
      <w:r w:rsidR="00CF7B76" w:rsidRPr="00922A86">
        <w:rPr>
          <w:szCs w:val="24"/>
        </w:rPr>
        <w:t xml:space="preserve"> est autonome et distinct du droit d</w:t>
      </w:r>
      <w:r w:rsidR="00951CA2">
        <w:rPr>
          <w:szCs w:val="24"/>
        </w:rPr>
        <w:t>’</w:t>
      </w:r>
      <w:r w:rsidR="00CF7B76" w:rsidRPr="00922A86">
        <w:rPr>
          <w:szCs w:val="24"/>
        </w:rPr>
        <w:t>exécution ou de représentation énoncé dans la partie introductive de l</w:t>
      </w:r>
      <w:r w:rsidR="00951CA2">
        <w:rPr>
          <w:szCs w:val="24"/>
        </w:rPr>
        <w:t>’</w:t>
      </w:r>
      <w:r w:rsidR="00CF7B76" w:rsidRPr="00922A86">
        <w:rPr>
          <w:szCs w:val="24"/>
        </w:rPr>
        <w:t>article.</w:t>
      </w:r>
      <w:r w:rsidR="00CF7B76" w:rsidRPr="00922A86">
        <w:rPr>
          <w:szCs w:val="24"/>
          <w:lang w:val="fr-FR"/>
        </w:rPr>
        <w:t xml:space="preserve">  Les droits énumérés aux al. 3(1)</w:t>
      </w:r>
      <w:r w:rsidR="00CF7B76" w:rsidRPr="00922A86">
        <w:rPr>
          <w:i/>
          <w:szCs w:val="24"/>
          <w:lang w:val="fr-FR"/>
        </w:rPr>
        <w:t>a</w:t>
      </w:r>
      <w:r w:rsidR="00CF7B76" w:rsidRPr="00922A86">
        <w:rPr>
          <w:szCs w:val="24"/>
          <w:lang w:val="fr-FR"/>
        </w:rPr>
        <w:t xml:space="preserve">) à </w:t>
      </w:r>
      <w:r w:rsidR="00CF7B76" w:rsidRPr="00922A86">
        <w:rPr>
          <w:i/>
          <w:szCs w:val="24"/>
          <w:lang w:val="fr-FR"/>
        </w:rPr>
        <w:t>i</w:t>
      </w:r>
      <w:r w:rsidR="00CF7B76" w:rsidRPr="00922A86">
        <w:rPr>
          <w:szCs w:val="24"/>
          <w:lang w:val="fr-FR"/>
        </w:rPr>
        <w:t>) s</w:t>
      </w:r>
      <w:r w:rsidR="00951CA2">
        <w:rPr>
          <w:szCs w:val="24"/>
          <w:lang w:val="fr-FR"/>
        </w:rPr>
        <w:t>’</w:t>
      </w:r>
      <w:r w:rsidR="00CF7B76" w:rsidRPr="00922A86">
        <w:rPr>
          <w:szCs w:val="24"/>
          <w:lang w:val="fr-FR"/>
        </w:rPr>
        <w:t>ajoutent au droit de produire ou de reproduire l</w:t>
      </w:r>
      <w:r w:rsidR="00951CA2">
        <w:rPr>
          <w:szCs w:val="24"/>
          <w:lang w:val="fr-FR"/>
        </w:rPr>
        <w:t>’</w:t>
      </w:r>
      <w:r w:rsidR="005A285A" w:rsidRPr="00922A86">
        <w:rPr>
          <w:szCs w:val="24"/>
          <w:lang w:val="fr-FR"/>
        </w:rPr>
        <w:t>œuvre,</w:t>
      </w:r>
      <w:r w:rsidR="00CF7B76" w:rsidRPr="00922A86">
        <w:rPr>
          <w:szCs w:val="24"/>
          <w:lang w:val="fr-FR"/>
        </w:rPr>
        <w:t xml:space="preserve"> de la représenter </w:t>
      </w:r>
      <w:r w:rsidR="005A285A" w:rsidRPr="00922A86">
        <w:rPr>
          <w:szCs w:val="24"/>
          <w:lang w:val="fr-FR"/>
        </w:rPr>
        <w:t xml:space="preserve">ou </w:t>
      </w:r>
      <w:r w:rsidR="00CF7B76" w:rsidRPr="00922A86">
        <w:rPr>
          <w:szCs w:val="24"/>
          <w:lang w:val="fr-FR"/>
        </w:rPr>
        <w:t>de l</w:t>
      </w:r>
      <w:r w:rsidR="00951CA2">
        <w:rPr>
          <w:szCs w:val="24"/>
          <w:lang w:val="fr-FR"/>
        </w:rPr>
        <w:t>’</w:t>
      </w:r>
      <w:r w:rsidR="00CF7B76" w:rsidRPr="00922A86">
        <w:rPr>
          <w:szCs w:val="24"/>
          <w:lang w:val="fr-FR"/>
        </w:rPr>
        <w:t xml:space="preserve">exécuter ou </w:t>
      </w:r>
      <w:r w:rsidR="005A285A" w:rsidRPr="00922A86">
        <w:rPr>
          <w:szCs w:val="24"/>
          <w:lang w:val="fr-FR"/>
        </w:rPr>
        <w:t>encore</w:t>
      </w:r>
      <w:r w:rsidR="00146AC0" w:rsidRPr="00922A86">
        <w:rPr>
          <w:szCs w:val="24"/>
          <w:lang w:val="fr-FR"/>
        </w:rPr>
        <w:t>,</w:t>
      </w:r>
      <w:r w:rsidR="005A285A" w:rsidRPr="00922A86">
        <w:rPr>
          <w:szCs w:val="24"/>
          <w:lang w:val="fr-FR"/>
        </w:rPr>
        <w:t xml:space="preserve"> </w:t>
      </w:r>
      <w:r w:rsidR="00CF7B76" w:rsidRPr="00922A86">
        <w:rPr>
          <w:szCs w:val="24"/>
          <w:lang w:val="fr-FR"/>
        </w:rPr>
        <w:t xml:space="preserve">de la publier. </w:t>
      </w:r>
      <w:r w:rsidR="005A285A" w:rsidRPr="00922A86">
        <w:rPr>
          <w:szCs w:val="24"/>
          <w:lang w:val="fr-FR"/>
        </w:rPr>
        <w:t xml:space="preserve"> </w:t>
      </w:r>
      <w:r w:rsidR="00CF7B76" w:rsidRPr="00922A86">
        <w:rPr>
          <w:szCs w:val="24"/>
          <w:lang w:val="fr-FR"/>
        </w:rPr>
        <w:t>L</w:t>
      </w:r>
      <w:r w:rsidR="00951CA2">
        <w:rPr>
          <w:szCs w:val="24"/>
          <w:lang w:val="fr-FR"/>
        </w:rPr>
        <w:t>’</w:t>
      </w:r>
      <w:r w:rsidR="00CF7B76" w:rsidRPr="00922A86">
        <w:rPr>
          <w:szCs w:val="24"/>
          <w:lang w:val="fr-FR"/>
        </w:rPr>
        <w:t>historique législatif de l</w:t>
      </w:r>
      <w:r w:rsidR="00951CA2">
        <w:rPr>
          <w:szCs w:val="24"/>
          <w:lang w:val="fr-FR"/>
        </w:rPr>
        <w:t>’</w:t>
      </w:r>
      <w:r w:rsidR="00CF7B76" w:rsidRPr="00922A86">
        <w:rPr>
          <w:szCs w:val="24"/>
          <w:lang w:val="fr-FR"/>
        </w:rPr>
        <w:t>al. 3(1)</w:t>
      </w:r>
      <w:r w:rsidR="00CF7B76" w:rsidRPr="00922A86">
        <w:rPr>
          <w:i/>
          <w:szCs w:val="24"/>
          <w:lang w:val="fr-FR"/>
        </w:rPr>
        <w:t>f</w:t>
      </w:r>
      <w:r w:rsidR="00CF7B76" w:rsidRPr="00922A86">
        <w:rPr>
          <w:szCs w:val="24"/>
          <w:lang w:val="fr-FR"/>
        </w:rPr>
        <w:t xml:space="preserve">) ne ramène pas non plus le droit de communiquer à une simple </w:t>
      </w:r>
      <w:r w:rsidR="00DC333C" w:rsidRPr="00922A86">
        <w:rPr>
          <w:szCs w:val="24"/>
          <w:lang w:val="fr-FR"/>
        </w:rPr>
        <w:t xml:space="preserve">variante </w:t>
      </w:r>
      <w:r w:rsidR="00CF7B76" w:rsidRPr="00922A86">
        <w:rPr>
          <w:szCs w:val="24"/>
          <w:lang w:val="fr-FR"/>
        </w:rPr>
        <w:t>du droit d</w:t>
      </w:r>
      <w:r w:rsidR="00951CA2">
        <w:rPr>
          <w:szCs w:val="24"/>
          <w:lang w:val="fr-FR"/>
        </w:rPr>
        <w:t>’</w:t>
      </w:r>
      <w:r w:rsidR="00CF7B76" w:rsidRPr="00922A86">
        <w:rPr>
          <w:szCs w:val="24"/>
          <w:lang w:val="fr-FR"/>
        </w:rPr>
        <w:t xml:space="preserve">exécution ou de représentation. </w:t>
      </w:r>
      <w:r w:rsidR="00DC333C" w:rsidRPr="00922A86">
        <w:rPr>
          <w:szCs w:val="24"/>
          <w:lang w:val="fr-FR"/>
        </w:rPr>
        <w:t xml:space="preserve"> Même s</w:t>
      </w:r>
      <w:r w:rsidR="00951CA2">
        <w:rPr>
          <w:szCs w:val="24"/>
          <w:lang w:val="fr-FR"/>
        </w:rPr>
        <w:t>’</w:t>
      </w:r>
      <w:r w:rsidR="00CF7B76" w:rsidRPr="00922A86">
        <w:rPr>
          <w:szCs w:val="24"/>
          <w:lang w:val="fr-FR"/>
        </w:rPr>
        <w:t xml:space="preserve">il a déjà existé </w:t>
      </w:r>
      <w:r w:rsidR="00CF7B76" w:rsidRPr="00922A86">
        <w:rPr>
          <w:szCs w:val="24"/>
        </w:rPr>
        <w:t>un lien historique entre le droit d</w:t>
      </w:r>
      <w:r w:rsidR="00951CA2">
        <w:rPr>
          <w:szCs w:val="24"/>
        </w:rPr>
        <w:t>’</w:t>
      </w:r>
      <w:r w:rsidR="00CF7B76" w:rsidRPr="00922A86">
        <w:rPr>
          <w:szCs w:val="24"/>
        </w:rPr>
        <w:t xml:space="preserve">exécution et de représentation en public et le droit de communication au public, la </w:t>
      </w:r>
      <w:r w:rsidR="00DC333C" w:rsidRPr="00922A86">
        <w:rPr>
          <w:szCs w:val="24"/>
        </w:rPr>
        <w:t xml:space="preserve">loi </w:t>
      </w:r>
      <w:r w:rsidR="00CF7B76" w:rsidRPr="00922A86">
        <w:rPr>
          <w:szCs w:val="24"/>
        </w:rPr>
        <w:t>a évolué.</w:t>
      </w:r>
      <w:r w:rsidR="00CF7B76" w:rsidRPr="00922A86">
        <w:rPr>
          <w:szCs w:val="24"/>
          <w:lang w:val="fr-FR"/>
        </w:rPr>
        <w:t xml:space="preserve"> </w:t>
      </w:r>
      <w:r w:rsidR="00DC333C" w:rsidRPr="00922A86">
        <w:rPr>
          <w:szCs w:val="24"/>
          <w:lang w:val="fr-FR"/>
        </w:rPr>
        <w:t xml:space="preserve"> </w:t>
      </w:r>
      <w:r w:rsidR="00CF7B76" w:rsidRPr="00922A86">
        <w:rPr>
          <w:szCs w:val="24"/>
          <w:lang w:val="fr-FR"/>
        </w:rPr>
        <w:t xml:space="preserve">La disposition emploie </w:t>
      </w:r>
      <w:r w:rsidR="00CF7B76" w:rsidRPr="00922A86">
        <w:rPr>
          <w:szCs w:val="24"/>
        </w:rPr>
        <w:t>le terme « télécommunication » et ne fait plus mention de la diffusion traditionnelle</w:t>
      </w:r>
      <w:r w:rsidR="00DC333C" w:rsidRPr="00922A86">
        <w:rPr>
          <w:szCs w:val="24"/>
        </w:rPr>
        <w:t>,</w:t>
      </w:r>
      <w:r w:rsidR="00CF7B76" w:rsidRPr="00922A86">
        <w:rPr>
          <w:szCs w:val="24"/>
        </w:rPr>
        <w:t xml:space="preserve"> </w:t>
      </w:r>
      <w:r w:rsidR="00DC333C" w:rsidRPr="00922A86">
        <w:rPr>
          <w:szCs w:val="24"/>
        </w:rPr>
        <w:t>de sorte qu</w:t>
      </w:r>
      <w:r w:rsidR="00951CA2">
        <w:rPr>
          <w:szCs w:val="24"/>
        </w:rPr>
        <w:t>’</w:t>
      </w:r>
      <w:r w:rsidR="00DC333C" w:rsidRPr="00922A86">
        <w:rPr>
          <w:szCs w:val="24"/>
        </w:rPr>
        <w:t xml:space="preserve">elle peut </w:t>
      </w:r>
      <w:r w:rsidR="00CF7B76" w:rsidRPr="00922A86">
        <w:rPr>
          <w:szCs w:val="24"/>
        </w:rPr>
        <w:t>s</w:t>
      </w:r>
      <w:r w:rsidR="00951CA2">
        <w:rPr>
          <w:szCs w:val="24"/>
        </w:rPr>
        <w:t>’</w:t>
      </w:r>
      <w:r w:rsidR="00CF7B76" w:rsidRPr="00922A86">
        <w:rPr>
          <w:szCs w:val="24"/>
        </w:rPr>
        <w:t xml:space="preserve">appliquer </w:t>
      </w:r>
      <w:r w:rsidR="00DC333C" w:rsidRPr="00922A86">
        <w:rPr>
          <w:szCs w:val="24"/>
        </w:rPr>
        <w:t xml:space="preserve">aux nouvelles </w:t>
      </w:r>
      <w:r w:rsidR="00CF7B76" w:rsidRPr="00922A86">
        <w:rPr>
          <w:szCs w:val="24"/>
        </w:rPr>
        <w:t>technologie</w:t>
      </w:r>
      <w:r w:rsidR="00DC333C" w:rsidRPr="00922A86">
        <w:rPr>
          <w:szCs w:val="24"/>
        </w:rPr>
        <w:t>s</w:t>
      </w:r>
      <w:r w:rsidR="00CF7B76" w:rsidRPr="00922A86">
        <w:rPr>
          <w:szCs w:val="24"/>
        </w:rPr>
        <w:t>.</w:t>
      </w:r>
      <w:r w:rsidR="00CF7B76" w:rsidRPr="00922A86">
        <w:rPr>
          <w:szCs w:val="24"/>
          <w:lang w:val="fr-FR"/>
        </w:rPr>
        <w:t xml:space="preserve"> </w:t>
      </w:r>
      <w:r w:rsidR="00DC333C" w:rsidRPr="00922A86">
        <w:rPr>
          <w:szCs w:val="24"/>
          <w:lang w:val="fr-FR"/>
        </w:rPr>
        <w:t xml:space="preserve"> </w:t>
      </w:r>
      <w:r w:rsidR="00CF7B76" w:rsidRPr="00922A86">
        <w:rPr>
          <w:szCs w:val="24"/>
          <w:lang w:val="fr-FR"/>
        </w:rPr>
        <w:t xml:space="preserve">Le libellé actuel de la </w:t>
      </w:r>
      <w:r w:rsidR="00CF7B76" w:rsidRPr="00CF4791">
        <w:rPr>
          <w:i/>
          <w:szCs w:val="24"/>
          <w:lang w:val="fr-FR"/>
        </w:rPr>
        <w:t>Loi</w:t>
      </w:r>
      <w:r w:rsidR="00CF7B76" w:rsidRPr="00922A86">
        <w:rPr>
          <w:szCs w:val="24"/>
          <w:lang w:val="fr-FR"/>
        </w:rPr>
        <w:t xml:space="preserve"> ne permet pas de conclure que l</w:t>
      </w:r>
      <w:r w:rsidR="00951CA2">
        <w:rPr>
          <w:szCs w:val="24"/>
          <w:lang w:val="fr-FR"/>
        </w:rPr>
        <w:t>’</w:t>
      </w:r>
      <w:r w:rsidR="00CF7B76" w:rsidRPr="00922A86">
        <w:rPr>
          <w:szCs w:val="24"/>
          <w:lang w:val="fr-FR"/>
        </w:rPr>
        <w:t>al. 3(1)</w:t>
      </w:r>
      <w:r w:rsidR="00CF7B76" w:rsidRPr="00922A86">
        <w:rPr>
          <w:i/>
          <w:szCs w:val="24"/>
          <w:lang w:val="fr-FR"/>
        </w:rPr>
        <w:t>f</w:t>
      </w:r>
      <w:r w:rsidR="00CF7B76" w:rsidRPr="00922A86">
        <w:rPr>
          <w:szCs w:val="24"/>
          <w:lang w:val="fr-FR"/>
        </w:rPr>
        <w:t>) ne s</w:t>
      </w:r>
      <w:r w:rsidR="00951CA2">
        <w:rPr>
          <w:szCs w:val="24"/>
          <w:lang w:val="fr-FR"/>
        </w:rPr>
        <w:t>’</w:t>
      </w:r>
      <w:r w:rsidR="00CF7B76" w:rsidRPr="00922A86">
        <w:rPr>
          <w:szCs w:val="24"/>
          <w:lang w:val="fr-FR"/>
        </w:rPr>
        <w:t>applique qu</w:t>
      </w:r>
      <w:r w:rsidR="00951CA2">
        <w:rPr>
          <w:szCs w:val="24"/>
          <w:lang w:val="fr-FR"/>
        </w:rPr>
        <w:t>’</w:t>
      </w:r>
      <w:r w:rsidR="00CF7B76" w:rsidRPr="00922A86">
        <w:rPr>
          <w:szCs w:val="24"/>
          <w:lang w:val="fr-FR"/>
        </w:rPr>
        <w:t xml:space="preserve">aux technologies de diffusion </w:t>
      </w:r>
      <w:r w:rsidR="00CF7B76" w:rsidRPr="00922A86">
        <w:rPr>
          <w:szCs w:val="24"/>
        </w:rPr>
        <w:t>traditionnelle</w:t>
      </w:r>
      <w:r w:rsidR="00CF7B76" w:rsidRPr="00922A86">
        <w:rPr>
          <w:szCs w:val="24"/>
          <w:lang w:val="fr-FR"/>
        </w:rPr>
        <w:t>.</w:t>
      </w:r>
      <w:r w:rsidR="00DC333C" w:rsidRPr="00922A86">
        <w:rPr>
          <w:szCs w:val="24"/>
          <w:lang w:val="fr-FR"/>
        </w:rPr>
        <w:t xml:space="preserve"> </w:t>
      </w:r>
      <w:r w:rsidR="002301E7" w:rsidRPr="00922A86">
        <w:rPr>
          <w:szCs w:val="24"/>
          <w:lang w:val="fr-FR"/>
        </w:rPr>
        <w:t xml:space="preserve"> </w:t>
      </w:r>
    </w:p>
    <w:p w:rsidR="00CF7B76" w:rsidRPr="00922A86" w:rsidRDefault="00BF3BE1" w:rsidP="00CF7B76">
      <w:pPr>
        <w:pStyle w:val="SCCNormalDoubleSpacing"/>
        <w:spacing w:after="480"/>
        <w:rPr>
          <w:szCs w:val="24"/>
          <w:lang w:val="fr-FR"/>
        </w:rPr>
      </w:pPr>
      <w:r w:rsidRPr="00922A86">
        <w:rPr>
          <w:szCs w:val="24"/>
          <w:lang w:val="fr-FR"/>
        </w:rPr>
        <w:lastRenderedPageBreak/>
        <w:tab/>
      </w:r>
      <w:r w:rsidR="00CF7B76" w:rsidRPr="00922A86">
        <w:rPr>
          <w:szCs w:val="24"/>
          <w:lang w:val="fr-FR"/>
        </w:rPr>
        <w:t>Le but de la communication n</w:t>
      </w:r>
      <w:r w:rsidR="00951CA2">
        <w:rPr>
          <w:szCs w:val="24"/>
          <w:lang w:val="fr-FR"/>
        </w:rPr>
        <w:t>’</w:t>
      </w:r>
      <w:r w:rsidR="00CF7B76" w:rsidRPr="00922A86">
        <w:rPr>
          <w:szCs w:val="24"/>
          <w:lang w:val="fr-FR"/>
        </w:rPr>
        <w:t>est pas déterminant aux fins de décider si le droit de communiquer s</w:t>
      </w:r>
      <w:r w:rsidR="00951CA2">
        <w:rPr>
          <w:szCs w:val="24"/>
          <w:lang w:val="fr-FR"/>
        </w:rPr>
        <w:t>’</w:t>
      </w:r>
      <w:r w:rsidR="00CF7B76" w:rsidRPr="00922A86">
        <w:rPr>
          <w:szCs w:val="24"/>
          <w:lang w:val="fr-FR"/>
        </w:rPr>
        <w:t xml:space="preserve">applique ou non.  </w:t>
      </w:r>
      <w:r w:rsidR="00E14F45" w:rsidRPr="00922A86">
        <w:rPr>
          <w:szCs w:val="24"/>
          <w:lang w:val="fr-FR"/>
        </w:rPr>
        <w:t>Q</w:t>
      </w:r>
      <w:proofErr w:type="spellStart"/>
      <w:r w:rsidR="00CF7B76" w:rsidRPr="00922A86">
        <w:rPr>
          <w:szCs w:val="24"/>
        </w:rPr>
        <w:t>ue</w:t>
      </w:r>
      <w:proofErr w:type="spellEnd"/>
      <w:r w:rsidR="00CF7B76" w:rsidRPr="00922A86">
        <w:rPr>
          <w:szCs w:val="24"/>
        </w:rPr>
        <w:t xml:space="preserve"> la transmission Internet fa</w:t>
      </w:r>
      <w:r w:rsidR="00E14F45" w:rsidRPr="00922A86">
        <w:rPr>
          <w:szCs w:val="24"/>
        </w:rPr>
        <w:t>sse</w:t>
      </w:r>
      <w:r w:rsidR="00CF7B76" w:rsidRPr="00922A86">
        <w:rPr>
          <w:szCs w:val="24"/>
        </w:rPr>
        <w:t xml:space="preserve"> parvenir un </w:t>
      </w:r>
      <w:r w:rsidR="00E14F45" w:rsidRPr="00922A86">
        <w:rPr>
          <w:szCs w:val="24"/>
        </w:rPr>
        <w:t>exemplaire</w:t>
      </w:r>
      <w:r w:rsidR="00CF7B76" w:rsidRPr="00922A86">
        <w:rPr>
          <w:szCs w:val="24"/>
        </w:rPr>
        <w:t xml:space="preserve"> du jeu vidéo </w:t>
      </w:r>
      <w:r w:rsidR="00E14F45" w:rsidRPr="00922A86">
        <w:rPr>
          <w:szCs w:val="24"/>
        </w:rPr>
        <w:t xml:space="preserve">qui renferme une </w:t>
      </w:r>
      <w:r w:rsidR="00951CA2" w:rsidRPr="00922A86">
        <w:rPr>
          <w:szCs w:val="24"/>
        </w:rPr>
        <w:t>œuvre</w:t>
      </w:r>
      <w:r w:rsidR="00CF7B76" w:rsidRPr="00922A86">
        <w:rPr>
          <w:szCs w:val="24"/>
        </w:rPr>
        <w:t xml:space="preserve"> </w:t>
      </w:r>
      <w:r w:rsidR="00E14F45" w:rsidRPr="00922A86">
        <w:rPr>
          <w:szCs w:val="24"/>
        </w:rPr>
        <w:t xml:space="preserve">musicale </w:t>
      </w:r>
      <w:r w:rsidR="00CF7B76" w:rsidRPr="00922A86">
        <w:rPr>
          <w:szCs w:val="24"/>
        </w:rPr>
        <w:t>ne change rien au fait qu</w:t>
      </w:r>
      <w:r w:rsidR="00951CA2">
        <w:rPr>
          <w:szCs w:val="24"/>
        </w:rPr>
        <w:t>’</w:t>
      </w:r>
      <w:r w:rsidR="00CF7B76" w:rsidRPr="00922A86">
        <w:rPr>
          <w:szCs w:val="24"/>
        </w:rPr>
        <w:t>il y a communication Internet devant être autorisée par le titulaire du droit d</w:t>
      </w:r>
      <w:r w:rsidR="00951CA2">
        <w:rPr>
          <w:szCs w:val="24"/>
        </w:rPr>
        <w:t>’</w:t>
      </w:r>
      <w:r w:rsidR="00CF7B76" w:rsidRPr="00922A86">
        <w:rPr>
          <w:szCs w:val="24"/>
        </w:rPr>
        <w:t>auteur.</w:t>
      </w:r>
      <w:r w:rsidR="00CF7B76" w:rsidRPr="00922A86">
        <w:rPr>
          <w:szCs w:val="24"/>
          <w:lang w:val="fr-FR"/>
        </w:rPr>
        <w:t xml:space="preserve">  </w:t>
      </w:r>
    </w:p>
    <w:p w:rsidR="00CF7B76" w:rsidRPr="00922A86" w:rsidRDefault="002857BC" w:rsidP="00CF7B76">
      <w:pPr>
        <w:pStyle w:val="SCCNormalDoubleSpacing"/>
        <w:spacing w:after="480"/>
        <w:rPr>
          <w:szCs w:val="24"/>
          <w:lang w:val="fr-FR"/>
        </w:rPr>
      </w:pPr>
      <w:r w:rsidRPr="00922A86">
        <w:rPr>
          <w:szCs w:val="24"/>
          <w:lang w:val="fr-FR"/>
        </w:rPr>
        <w:tab/>
      </w:r>
      <w:r w:rsidR="00CF7B76" w:rsidRPr="00922A86">
        <w:rPr>
          <w:szCs w:val="24"/>
          <w:lang w:val="fr-FR"/>
        </w:rPr>
        <w:t>Aucune considération de principe n</w:t>
      </w:r>
      <w:r w:rsidR="00951CA2">
        <w:rPr>
          <w:szCs w:val="24"/>
          <w:lang w:val="fr-FR"/>
        </w:rPr>
        <w:t>’</w:t>
      </w:r>
      <w:r w:rsidR="00CF7B76" w:rsidRPr="00922A86">
        <w:rPr>
          <w:szCs w:val="24"/>
          <w:lang w:val="fr-FR"/>
        </w:rPr>
        <w:t>entre en jeu</w:t>
      </w:r>
      <w:r w:rsidR="002710C4" w:rsidRPr="00922A86">
        <w:rPr>
          <w:szCs w:val="24"/>
          <w:lang w:val="fr-FR"/>
        </w:rPr>
        <w:t xml:space="preserve"> du fait que</w:t>
      </w:r>
      <w:r w:rsidR="00CF7B76" w:rsidRPr="00922A86">
        <w:rPr>
          <w:szCs w:val="24"/>
          <w:lang w:val="fr-FR"/>
        </w:rPr>
        <w:t xml:space="preserve"> le droit de reprodu</w:t>
      </w:r>
      <w:r w:rsidR="002710C4" w:rsidRPr="00922A86">
        <w:rPr>
          <w:szCs w:val="24"/>
          <w:lang w:val="fr-FR"/>
        </w:rPr>
        <w:t>ction</w:t>
      </w:r>
      <w:r w:rsidR="00CF7B76" w:rsidRPr="00922A86">
        <w:rPr>
          <w:szCs w:val="24"/>
          <w:lang w:val="fr-FR"/>
        </w:rPr>
        <w:t xml:space="preserve"> et le droit de communi</w:t>
      </w:r>
      <w:r w:rsidR="002710C4" w:rsidRPr="00922A86">
        <w:rPr>
          <w:szCs w:val="24"/>
          <w:lang w:val="fr-FR"/>
        </w:rPr>
        <w:t>cation</w:t>
      </w:r>
      <w:r w:rsidR="00CF7B76" w:rsidRPr="00922A86">
        <w:rPr>
          <w:szCs w:val="24"/>
          <w:lang w:val="fr-FR"/>
        </w:rPr>
        <w:t xml:space="preserve"> sont distincts.  </w:t>
      </w:r>
      <w:r w:rsidR="00CF7B76" w:rsidRPr="00922A86">
        <w:rPr>
          <w:szCs w:val="24"/>
        </w:rPr>
        <w:t>L</w:t>
      </w:r>
      <w:r w:rsidR="00951CA2">
        <w:rPr>
          <w:szCs w:val="24"/>
        </w:rPr>
        <w:t>’</w:t>
      </w:r>
      <w:r w:rsidR="00CF7B76" w:rsidRPr="00922A86">
        <w:rPr>
          <w:szCs w:val="24"/>
        </w:rPr>
        <w:t>existence de deux droits protégés ne restreint pas la protection conférée par chacun d</w:t>
      </w:r>
      <w:r w:rsidR="00951CA2">
        <w:rPr>
          <w:szCs w:val="24"/>
        </w:rPr>
        <w:t>’</w:t>
      </w:r>
      <w:r w:rsidR="00915DC1" w:rsidRPr="00922A86">
        <w:rPr>
          <w:szCs w:val="24"/>
        </w:rPr>
        <w:t>eux</w:t>
      </w:r>
      <w:r w:rsidR="00CF7B76" w:rsidRPr="00922A86">
        <w:rPr>
          <w:szCs w:val="24"/>
        </w:rPr>
        <w:t>.</w:t>
      </w:r>
      <w:r w:rsidR="00CF7B76" w:rsidRPr="00922A86">
        <w:rPr>
          <w:szCs w:val="24"/>
          <w:lang w:val="fr-FR"/>
        </w:rPr>
        <w:t xml:space="preserve">  Assimiler une transmission Internet à un simple « mode de livraison » de l</w:t>
      </w:r>
      <w:r w:rsidR="00951CA2">
        <w:rPr>
          <w:szCs w:val="24"/>
          <w:lang w:val="fr-FR"/>
        </w:rPr>
        <w:t>’</w:t>
      </w:r>
      <w:r w:rsidR="00CF7B76" w:rsidRPr="00922A86">
        <w:rPr>
          <w:szCs w:val="24"/>
          <w:lang w:val="fr-FR"/>
        </w:rPr>
        <w:t>œuvre et limiter le droit d</w:t>
      </w:r>
      <w:r w:rsidR="00951CA2">
        <w:rPr>
          <w:szCs w:val="24"/>
          <w:lang w:val="fr-FR"/>
        </w:rPr>
        <w:t>’</w:t>
      </w:r>
      <w:r w:rsidR="00915DC1" w:rsidRPr="00922A86">
        <w:rPr>
          <w:szCs w:val="24"/>
          <w:lang w:val="fr-FR"/>
        </w:rPr>
        <w:t>auteur au droit de reproduction</w:t>
      </w:r>
      <w:r w:rsidR="00CF7B76" w:rsidRPr="00922A86">
        <w:rPr>
          <w:szCs w:val="24"/>
          <w:lang w:val="fr-FR"/>
        </w:rPr>
        <w:t xml:space="preserve"> </w:t>
      </w:r>
      <w:r w:rsidR="00CF7B76" w:rsidRPr="00922A86">
        <w:rPr>
          <w:szCs w:val="24"/>
        </w:rPr>
        <w:t>neutralise</w:t>
      </w:r>
      <w:r w:rsidR="00915DC1" w:rsidRPr="00922A86">
        <w:rPr>
          <w:szCs w:val="24"/>
        </w:rPr>
        <w:t>nt</w:t>
      </w:r>
      <w:r w:rsidR="00CF7B76" w:rsidRPr="00922A86">
        <w:rPr>
          <w:szCs w:val="24"/>
        </w:rPr>
        <w:t xml:space="preserve"> l</w:t>
      </w:r>
      <w:r w:rsidR="00951CA2">
        <w:rPr>
          <w:szCs w:val="24"/>
        </w:rPr>
        <w:t>’</w:t>
      </w:r>
      <w:r w:rsidR="00CF7B76" w:rsidRPr="00922A86">
        <w:rPr>
          <w:szCs w:val="24"/>
        </w:rPr>
        <w:t>application du droit de communiquer</w:t>
      </w:r>
      <w:r w:rsidR="00CF7B76" w:rsidRPr="00922A86">
        <w:rPr>
          <w:szCs w:val="24"/>
          <w:lang w:val="fr-FR"/>
        </w:rPr>
        <w:t xml:space="preserve">.  Les tribunaux outrepassent leurs pouvoirs </w:t>
      </w:r>
      <w:r w:rsidR="008115C1" w:rsidRPr="00922A86">
        <w:rPr>
          <w:szCs w:val="24"/>
          <w:lang w:val="fr-FR"/>
        </w:rPr>
        <w:t>en</w:t>
      </w:r>
      <w:r w:rsidR="00CF7B76" w:rsidRPr="00922A86">
        <w:rPr>
          <w:szCs w:val="24"/>
          <w:lang w:val="fr-FR"/>
        </w:rPr>
        <w:t xml:space="preserve"> déduis</w:t>
      </w:r>
      <w:r w:rsidR="008115C1" w:rsidRPr="00922A86">
        <w:rPr>
          <w:szCs w:val="24"/>
          <w:lang w:val="fr-FR"/>
        </w:rPr>
        <w:t>a</w:t>
      </w:r>
      <w:r w:rsidR="00CF7B76" w:rsidRPr="00922A86">
        <w:rPr>
          <w:szCs w:val="24"/>
          <w:lang w:val="fr-FR"/>
        </w:rPr>
        <w:t>nt, pour des considérations de politique générale, l</w:t>
      </w:r>
      <w:r w:rsidR="00951CA2">
        <w:rPr>
          <w:szCs w:val="24"/>
          <w:lang w:val="fr-FR"/>
        </w:rPr>
        <w:t>’</w:t>
      </w:r>
      <w:r w:rsidR="00CF7B76" w:rsidRPr="00922A86">
        <w:rPr>
          <w:szCs w:val="24"/>
          <w:lang w:val="fr-FR"/>
        </w:rPr>
        <w:t xml:space="preserve">existence de limites applicables au droit de communication.  </w:t>
      </w:r>
    </w:p>
    <w:p w:rsidR="007E1C47" w:rsidRPr="00922A86" w:rsidRDefault="0043088E" w:rsidP="00EF5A32">
      <w:pPr>
        <w:pStyle w:val="SCCNormalDoubleSpacing"/>
        <w:keepNext/>
        <w:spacing w:after="480"/>
        <w:rPr>
          <w:b/>
          <w:szCs w:val="24"/>
        </w:rPr>
      </w:pPr>
      <w:r w:rsidRPr="00922A86">
        <w:rPr>
          <w:b/>
          <w:szCs w:val="24"/>
        </w:rPr>
        <w:t>Jurisprudence</w:t>
      </w:r>
    </w:p>
    <w:p w:rsidR="003B022F" w:rsidRPr="00922A86" w:rsidRDefault="003B022F" w:rsidP="00EF5A32">
      <w:pPr>
        <w:pStyle w:val="SCCNormalDoubleSpacing"/>
        <w:keepNext/>
        <w:spacing w:after="480"/>
        <w:rPr>
          <w:szCs w:val="24"/>
        </w:rPr>
      </w:pPr>
      <w:r w:rsidRPr="00922A86">
        <w:rPr>
          <w:szCs w:val="24"/>
        </w:rPr>
        <w:t xml:space="preserve">Citée par les juges Abella et </w:t>
      </w:r>
      <w:proofErr w:type="spellStart"/>
      <w:r w:rsidRPr="00922A86">
        <w:rPr>
          <w:szCs w:val="24"/>
        </w:rPr>
        <w:t>Moldaver</w:t>
      </w:r>
      <w:proofErr w:type="spellEnd"/>
    </w:p>
    <w:p w:rsidR="003B022F" w:rsidRPr="00922A86" w:rsidRDefault="003B022F" w:rsidP="0010710D">
      <w:pPr>
        <w:pStyle w:val="SCCNormalDoubleSpacing"/>
        <w:widowControl w:val="0"/>
        <w:spacing w:after="480"/>
        <w:rPr>
          <w:szCs w:val="24"/>
          <w:lang w:val="en-US"/>
        </w:rPr>
      </w:pPr>
      <w:r w:rsidRPr="00922A86">
        <w:rPr>
          <w:b/>
          <w:szCs w:val="24"/>
        </w:rPr>
        <w:tab/>
        <w:t>Arrêts mentionnés</w:t>
      </w:r>
      <w:r w:rsidR="0010710D" w:rsidRPr="00922A86">
        <w:rPr>
          <w:b/>
          <w:szCs w:val="24"/>
        </w:rPr>
        <w:t> :</w:t>
      </w:r>
      <w:r w:rsidRPr="00922A86">
        <w:rPr>
          <w:szCs w:val="24"/>
        </w:rPr>
        <w:t xml:space="preserve"> </w:t>
      </w:r>
      <w:r w:rsidRPr="00922A86">
        <w:rPr>
          <w:i/>
          <w:szCs w:val="24"/>
        </w:rPr>
        <w:t>Robertson c. Thomson Corp.</w:t>
      </w:r>
      <w:r w:rsidRPr="00922A86">
        <w:rPr>
          <w:szCs w:val="24"/>
        </w:rPr>
        <w:t>, 2006 CSC 43, [2006] 2 R.C.S. 363</w:t>
      </w:r>
      <w:r w:rsidR="002F3A3E" w:rsidRPr="00922A86">
        <w:rPr>
          <w:szCs w:val="24"/>
        </w:rPr>
        <w:t xml:space="preserve">; </w:t>
      </w:r>
      <w:proofErr w:type="spellStart"/>
      <w:r w:rsidR="002F3A3E" w:rsidRPr="00922A86">
        <w:rPr>
          <w:i/>
          <w:szCs w:val="24"/>
        </w:rPr>
        <w:t>Théberge</w:t>
      </w:r>
      <w:proofErr w:type="spellEnd"/>
      <w:r w:rsidR="002F3A3E" w:rsidRPr="00922A86">
        <w:rPr>
          <w:i/>
          <w:szCs w:val="24"/>
        </w:rPr>
        <w:t xml:space="preserve"> c. Galerie d</w:t>
      </w:r>
      <w:r w:rsidR="00951CA2">
        <w:rPr>
          <w:i/>
          <w:szCs w:val="24"/>
        </w:rPr>
        <w:t>’</w:t>
      </w:r>
      <w:r w:rsidR="002F3A3E" w:rsidRPr="00922A86">
        <w:rPr>
          <w:i/>
          <w:szCs w:val="24"/>
        </w:rPr>
        <w:t xml:space="preserve">Art du Petit Champlain </w:t>
      </w:r>
      <w:proofErr w:type="spellStart"/>
      <w:r w:rsidR="002F3A3E" w:rsidRPr="00922A86">
        <w:rPr>
          <w:i/>
          <w:szCs w:val="24"/>
        </w:rPr>
        <w:t>inc</w:t>
      </w:r>
      <w:proofErr w:type="spellEnd"/>
      <w:r w:rsidR="002F3A3E" w:rsidRPr="00922A86">
        <w:rPr>
          <w:szCs w:val="24"/>
        </w:rPr>
        <w:t>., 2002 CSC 34, [2002] 2 R.C.S. 336</w:t>
      </w:r>
      <w:r w:rsidR="00DC042D" w:rsidRPr="00922A86">
        <w:rPr>
          <w:rStyle w:val="ssens"/>
          <w:szCs w:val="24"/>
        </w:rPr>
        <w:t xml:space="preserve">; </w:t>
      </w:r>
      <w:r w:rsidR="00DC042D" w:rsidRPr="00922A86">
        <w:rPr>
          <w:rStyle w:val="ssens"/>
          <w:i/>
          <w:szCs w:val="24"/>
        </w:rPr>
        <w:t>Bishop c. Stevens</w:t>
      </w:r>
      <w:r w:rsidR="00DC042D" w:rsidRPr="00922A86">
        <w:rPr>
          <w:rStyle w:val="ssens"/>
          <w:szCs w:val="24"/>
        </w:rPr>
        <w:t>, [1990] 2 R.C.S. 467</w:t>
      </w:r>
      <w:r w:rsidR="0030390A" w:rsidRPr="00922A86">
        <w:rPr>
          <w:rStyle w:val="ssens"/>
          <w:szCs w:val="24"/>
        </w:rPr>
        <w:t xml:space="preserve">; </w:t>
      </w:r>
      <w:proofErr w:type="spellStart"/>
      <w:r w:rsidR="00EF56E4">
        <w:rPr>
          <w:rStyle w:val="ssens"/>
          <w:i/>
          <w:szCs w:val="24"/>
        </w:rPr>
        <w:t>Composers</w:t>
      </w:r>
      <w:proofErr w:type="spellEnd"/>
      <w:r w:rsidR="00EF56E4">
        <w:rPr>
          <w:rStyle w:val="ssens"/>
          <w:i/>
          <w:szCs w:val="24"/>
        </w:rPr>
        <w:t xml:space="preserve">, </w:t>
      </w:r>
      <w:proofErr w:type="spellStart"/>
      <w:r w:rsidR="00EF56E4">
        <w:rPr>
          <w:rStyle w:val="ssens"/>
          <w:i/>
          <w:szCs w:val="24"/>
        </w:rPr>
        <w:t>Authors</w:t>
      </w:r>
      <w:proofErr w:type="spellEnd"/>
      <w:r w:rsidR="0030390A" w:rsidRPr="00922A86">
        <w:rPr>
          <w:rStyle w:val="ssens"/>
          <w:i/>
          <w:szCs w:val="24"/>
        </w:rPr>
        <w:t xml:space="preserve"> and </w:t>
      </w:r>
      <w:proofErr w:type="spellStart"/>
      <w:r w:rsidR="0030390A" w:rsidRPr="00922A86">
        <w:rPr>
          <w:rStyle w:val="ssens"/>
          <w:i/>
          <w:szCs w:val="24"/>
        </w:rPr>
        <w:t>Publishers</w:t>
      </w:r>
      <w:proofErr w:type="spellEnd"/>
      <w:r w:rsidR="0030390A" w:rsidRPr="00922A86">
        <w:rPr>
          <w:rStyle w:val="ssens"/>
          <w:i/>
          <w:szCs w:val="24"/>
        </w:rPr>
        <w:t xml:space="preserve"> </w:t>
      </w:r>
      <w:proofErr w:type="spellStart"/>
      <w:r w:rsidR="0030390A" w:rsidRPr="00922A86">
        <w:rPr>
          <w:rStyle w:val="ssens"/>
          <w:i/>
          <w:szCs w:val="24"/>
        </w:rPr>
        <w:t>Ass</w:t>
      </w:r>
      <w:r w:rsidR="00CF4791">
        <w:rPr>
          <w:rStyle w:val="ssens"/>
          <w:i/>
          <w:szCs w:val="24"/>
        </w:rPr>
        <w:t>oc</w:t>
      </w:r>
      <w:proofErr w:type="spellEnd"/>
      <w:r w:rsidR="0030390A" w:rsidRPr="00922A86">
        <w:rPr>
          <w:rStyle w:val="ssens"/>
          <w:i/>
          <w:szCs w:val="24"/>
        </w:rPr>
        <w:t xml:space="preserve">. of Canada Ltd. c. CTV </w:t>
      </w:r>
      <w:proofErr w:type="spellStart"/>
      <w:r w:rsidR="0030390A" w:rsidRPr="00922A86">
        <w:rPr>
          <w:rStyle w:val="ssens"/>
          <w:i/>
          <w:szCs w:val="24"/>
        </w:rPr>
        <w:t>Television</w:t>
      </w:r>
      <w:proofErr w:type="spellEnd"/>
      <w:r w:rsidR="0030390A" w:rsidRPr="00922A86">
        <w:rPr>
          <w:rStyle w:val="ssens"/>
          <w:i/>
          <w:szCs w:val="24"/>
        </w:rPr>
        <w:t xml:space="preserve"> Network Ltd.</w:t>
      </w:r>
      <w:r w:rsidR="0030390A" w:rsidRPr="00922A86">
        <w:rPr>
          <w:rStyle w:val="ssens"/>
          <w:szCs w:val="24"/>
        </w:rPr>
        <w:t>, [1968] R.C.S. 676</w:t>
      </w:r>
      <w:r w:rsidR="00907C39" w:rsidRPr="00922A86">
        <w:rPr>
          <w:szCs w:val="24"/>
        </w:rPr>
        <w:t xml:space="preserve">; </w:t>
      </w:r>
      <w:proofErr w:type="spellStart"/>
      <w:r w:rsidR="00907C39" w:rsidRPr="00922A86">
        <w:rPr>
          <w:i/>
          <w:szCs w:val="24"/>
        </w:rPr>
        <w:t>Assoc</w:t>
      </w:r>
      <w:proofErr w:type="spellEnd"/>
      <w:r w:rsidR="00907C39" w:rsidRPr="00922A86">
        <w:rPr>
          <w:i/>
          <w:szCs w:val="24"/>
        </w:rPr>
        <w:t xml:space="preserve">. </w:t>
      </w:r>
      <w:proofErr w:type="gramStart"/>
      <w:r w:rsidR="00907C39" w:rsidRPr="00922A86">
        <w:rPr>
          <w:i/>
          <w:szCs w:val="24"/>
        </w:rPr>
        <w:t>canadienne</w:t>
      </w:r>
      <w:proofErr w:type="gramEnd"/>
      <w:r w:rsidR="00907C39" w:rsidRPr="00922A86">
        <w:rPr>
          <w:i/>
          <w:szCs w:val="24"/>
        </w:rPr>
        <w:t xml:space="preserve"> des télé</w:t>
      </w:r>
      <w:r w:rsidR="00907C39" w:rsidRPr="00922A86">
        <w:rPr>
          <w:rStyle w:val="ssens"/>
          <w:i/>
          <w:szCs w:val="24"/>
        </w:rPr>
        <w:t>communications sans fil c. Soci</w:t>
      </w:r>
      <w:r w:rsidR="00CF4791">
        <w:rPr>
          <w:rStyle w:val="ssens"/>
          <w:i/>
          <w:szCs w:val="24"/>
        </w:rPr>
        <w:t>é</w:t>
      </w:r>
      <w:r w:rsidR="00907C39" w:rsidRPr="00922A86">
        <w:rPr>
          <w:rStyle w:val="ssens"/>
          <w:i/>
          <w:szCs w:val="24"/>
        </w:rPr>
        <w:t xml:space="preserve">té canadienne des </w:t>
      </w:r>
      <w:r w:rsidR="00907C39" w:rsidRPr="00922A86">
        <w:rPr>
          <w:rStyle w:val="ssens"/>
          <w:i/>
          <w:szCs w:val="24"/>
        </w:rPr>
        <w:lastRenderedPageBreak/>
        <w:t>auteurs, compositeurs et éditeurs de musique</w:t>
      </w:r>
      <w:r w:rsidR="00907C39" w:rsidRPr="00922A86">
        <w:rPr>
          <w:rStyle w:val="ssens"/>
          <w:szCs w:val="24"/>
        </w:rPr>
        <w:t>, 2008 CAF 6, [2008] 3 R.C.F. 539</w:t>
      </w:r>
      <w:r w:rsidR="00995310" w:rsidRPr="00922A86">
        <w:rPr>
          <w:rStyle w:val="ssens"/>
          <w:szCs w:val="24"/>
        </w:rPr>
        <w:t xml:space="preserve">; </w:t>
      </w:r>
      <w:r w:rsidR="00995310" w:rsidRPr="00922A86">
        <w:rPr>
          <w:i/>
          <w:szCs w:val="24"/>
        </w:rPr>
        <w:t xml:space="preserve">Canadian </w:t>
      </w:r>
      <w:proofErr w:type="spellStart"/>
      <w:r w:rsidR="00995310" w:rsidRPr="00922A86">
        <w:rPr>
          <w:i/>
          <w:szCs w:val="24"/>
        </w:rPr>
        <w:t>Admiral</w:t>
      </w:r>
      <w:proofErr w:type="spellEnd"/>
      <w:r w:rsidR="00995310" w:rsidRPr="00922A86">
        <w:rPr>
          <w:i/>
          <w:szCs w:val="24"/>
        </w:rPr>
        <w:t xml:space="preserve"> Cor</w:t>
      </w:r>
      <w:r w:rsidR="0010710D" w:rsidRPr="00922A86">
        <w:rPr>
          <w:i/>
          <w:szCs w:val="24"/>
        </w:rPr>
        <w:t>p. </w:t>
      </w:r>
      <w:r w:rsidR="00995310" w:rsidRPr="00922A86">
        <w:rPr>
          <w:i/>
          <w:szCs w:val="24"/>
        </w:rPr>
        <w:t>c. Redif</w:t>
      </w:r>
      <w:r w:rsidR="002D77EB" w:rsidRPr="00922A86">
        <w:rPr>
          <w:i/>
          <w:szCs w:val="24"/>
        </w:rPr>
        <w:t>f</w:t>
      </w:r>
      <w:r w:rsidR="00995310" w:rsidRPr="00922A86">
        <w:rPr>
          <w:i/>
          <w:szCs w:val="24"/>
        </w:rPr>
        <w:t>usion, Inc.</w:t>
      </w:r>
      <w:r w:rsidR="00995310" w:rsidRPr="00922A86">
        <w:rPr>
          <w:szCs w:val="24"/>
        </w:rPr>
        <w:t xml:space="preserve">, [1954] </w:t>
      </w:r>
      <w:r w:rsidR="00EF56E4">
        <w:rPr>
          <w:szCs w:val="24"/>
        </w:rPr>
        <w:t xml:space="preserve">R.C. de l’É. </w:t>
      </w:r>
      <w:r w:rsidR="00995310" w:rsidRPr="00922A86">
        <w:rPr>
          <w:szCs w:val="24"/>
        </w:rPr>
        <w:t>382</w:t>
      </w:r>
      <w:r w:rsidR="00E55DD9" w:rsidRPr="00922A86">
        <w:rPr>
          <w:szCs w:val="24"/>
        </w:rPr>
        <w:t xml:space="preserve">; </w:t>
      </w:r>
      <w:r w:rsidR="00E55DD9" w:rsidRPr="00922A86">
        <w:rPr>
          <w:i/>
          <w:szCs w:val="24"/>
        </w:rPr>
        <w:t xml:space="preserve">Société canadienne des auteurs, compositeurs et éditeurs de musique c. </w:t>
      </w:r>
      <w:proofErr w:type="spellStart"/>
      <w:r w:rsidR="00E55DD9" w:rsidRPr="00922A86">
        <w:rPr>
          <w:i/>
          <w:szCs w:val="24"/>
        </w:rPr>
        <w:t>Assoc</w:t>
      </w:r>
      <w:proofErr w:type="spellEnd"/>
      <w:r w:rsidR="00E55DD9" w:rsidRPr="00922A86">
        <w:rPr>
          <w:i/>
          <w:szCs w:val="24"/>
        </w:rPr>
        <w:t xml:space="preserve">. </w:t>
      </w:r>
      <w:proofErr w:type="gramStart"/>
      <w:r w:rsidR="00E55DD9" w:rsidRPr="00922A86">
        <w:rPr>
          <w:i/>
          <w:szCs w:val="24"/>
        </w:rPr>
        <w:t>canadienne</w:t>
      </w:r>
      <w:proofErr w:type="gramEnd"/>
      <w:r w:rsidR="00E55DD9" w:rsidRPr="00922A86">
        <w:rPr>
          <w:i/>
          <w:szCs w:val="24"/>
        </w:rPr>
        <w:t xml:space="preserve"> des fournisseurs Internet</w:t>
      </w:r>
      <w:r w:rsidR="00E55DD9" w:rsidRPr="00922A86">
        <w:rPr>
          <w:szCs w:val="24"/>
        </w:rPr>
        <w:t>, 2004 CSC 45, [2004] 2 R.C.S. 427</w:t>
      </w:r>
      <w:r w:rsidR="00185708" w:rsidRPr="00922A86">
        <w:rPr>
          <w:szCs w:val="24"/>
        </w:rPr>
        <w:t xml:space="preserve">; </w:t>
      </w:r>
      <w:r w:rsidR="00185708" w:rsidRPr="00922A86">
        <w:rPr>
          <w:i/>
          <w:szCs w:val="24"/>
        </w:rPr>
        <w:t xml:space="preserve">Ontario c. Canadien Pacifique </w:t>
      </w:r>
      <w:proofErr w:type="spellStart"/>
      <w:r w:rsidR="00185708" w:rsidRPr="00922A86">
        <w:rPr>
          <w:i/>
          <w:szCs w:val="24"/>
        </w:rPr>
        <w:t>Ltée</w:t>
      </w:r>
      <w:proofErr w:type="spellEnd"/>
      <w:r w:rsidR="00185708" w:rsidRPr="00922A86">
        <w:rPr>
          <w:szCs w:val="24"/>
        </w:rPr>
        <w:t>, [1995] 2 R.C.S. 1031</w:t>
      </w:r>
      <w:r w:rsidR="00A90CA5" w:rsidRPr="00922A86">
        <w:rPr>
          <w:szCs w:val="24"/>
        </w:rPr>
        <w:t>;</w:t>
      </w:r>
      <w:r w:rsidR="00A90CA5" w:rsidRPr="00922A86">
        <w:rPr>
          <w:i/>
          <w:iCs/>
          <w:szCs w:val="24"/>
        </w:rPr>
        <w:t xml:space="preserve"> </w:t>
      </w:r>
      <w:proofErr w:type="spellStart"/>
      <w:r w:rsidR="00A90CA5" w:rsidRPr="00922A86">
        <w:rPr>
          <w:i/>
          <w:iCs/>
          <w:szCs w:val="24"/>
        </w:rPr>
        <w:t>Ash</w:t>
      </w:r>
      <w:proofErr w:type="spellEnd"/>
      <w:r w:rsidR="00A90CA5" w:rsidRPr="00922A86">
        <w:rPr>
          <w:i/>
          <w:iCs/>
          <w:szCs w:val="24"/>
        </w:rPr>
        <w:t xml:space="preserve"> c. Hutchinson &amp; Co. </w:t>
      </w:r>
      <w:r w:rsidR="00A90CA5" w:rsidRPr="00922A86">
        <w:rPr>
          <w:i/>
          <w:iCs/>
          <w:szCs w:val="24"/>
          <w:lang w:val="en-US"/>
        </w:rPr>
        <w:t>(Publishers), Ltd.</w:t>
      </w:r>
      <w:r w:rsidR="00A90CA5" w:rsidRPr="00922A86">
        <w:rPr>
          <w:szCs w:val="24"/>
          <w:lang w:val="en-US"/>
        </w:rPr>
        <w:t>, [1936] 2 All E.R. 1496</w:t>
      </w:r>
      <w:r w:rsidR="00066802" w:rsidRPr="00922A86">
        <w:rPr>
          <w:szCs w:val="24"/>
          <w:lang w:val="en-US"/>
        </w:rPr>
        <w:t xml:space="preserve">; </w:t>
      </w:r>
      <w:r w:rsidR="00066802" w:rsidRPr="00922A86">
        <w:rPr>
          <w:i/>
          <w:iCs/>
          <w:szCs w:val="24"/>
          <w:lang w:val="en-US"/>
        </w:rPr>
        <w:t>Apple Computer Inc. c. Mackintosh Computers Ltd.</w:t>
      </w:r>
      <w:r w:rsidR="00066802" w:rsidRPr="00922A86">
        <w:rPr>
          <w:iCs/>
          <w:szCs w:val="24"/>
          <w:lang w:val="en-US"/>
        </w:rPr>
        <w:t>,</w:t>
      </w:r>
      <w:r w:rsidR="00066802" w:rsidRPr="00922A86">
        <w:rPr>
          <w:szCs w:val="24"/>
          <w:lang w:val="en-US"/>
        </w:rPr>
        <w:t xml:space="preserve"> [1987] 1 C.F. 173</w:t>
      </w:r>
      <w:r w:rsidRPr="00922A86">
        <w:rPr>
          <w:szCs w:val="24"/>
          <w:lang w:val="en-US"/>
        </w:rPr>
        <w:t>.</w:t>
      </w:r>
    </w:p>
    <w:p w:rsidR="003B022F" w:rsidRPr="00922A86" w:rsidRDefault="003B022F" w:rsidP="0010710D">
      <w:pPr>
        <w:pStyle w:val="SCCNormalDoubleSpacing"/>
        <w:widowControl w:val="0"/>
        <w:spacing w:after="480"/>
        <w:rPr>
          <w:szCs w:val="24"/>
        </w:rPr>
      </w:pPr>
      <w:r w:rsidRPr="00922A86">
        <w:rPr>
          <w:szCs w:val="24"/>
        </w:rPr>
        <w:t xml:space="preserve">Citée par le juge </w:t>
      </w:r>
      <w:proofErr w:type="spellStart"/>
      <w:r w:rsidRPr="00922A86">
        <w:rPr>
          <w:szCs w:val="24"/>
        </w:rPr>
        <w:t>Rothstein</w:t>
      </w:r>
      <w:proofErr w:type="spellEnd"/>
      <w:r w:rsidR="00453792" w:rsidRPr="00922A86">
        <w:rPr>
          <w:szCs w:val="24"/>
        </w:rPr>
        <w:t xml:space="preserve"> (dissident)</w:t>
      </w:r>
    </w:p>
    <w:p w:rsidR="002E6705" w:rsidRPr="00922A86" w:rsidRDefault="002E6705" w:rsidP="0010710D">
      <w:pPr>
        <w:pStyle w:val="SCCNormalDoubleSpacing"/>
        <w:widowControl w:val="0"/>
        <w:spacing w:after="480"/>
        <w:rPr>
          <w:szCs w:val="24"/>
        </w:rPr>
      </w:pPr>
      <w:r w:rsidRPr="00922A86">
        <w:rPr>
          <w:szCs w:val="24"/>
        </w:rPr>
        <w:tab/>
      </w:r>
      <w:proofErr w:type="spellStart"/>
      <w:r w:rsidR="00DE71A4" w:rsidRPr="00922A86">
        <w:rPr>
          <w:i/>
          <w:szCs w:val="24"/>
        </w:rPr>
        <w:t>Théberge</w:t>
      </w:r>
      <w:proofErr w:type="spellEnd"/>
      <w:r w:rsidR="00DE71A4" w:rsidRPr="00922A86">
        <w:rPr>
          <w:i/>
          <w:szCs w:val="24"/>
        </w:rPr>
        <w:t xml:space="preserve"> c. Galerie d</w:t>
      </w:r>
      <w:r w:rsidR="00951CA2">
        <w:rPr>
          <w:i/>
          <w:szCs w:val="24"/>
        </w:rPr>
        <w:t>’</w:t>
      </w:r>
      <w:r w:rsidR="00DE71A4" w:rsidRPr="00922A86">
        <w:rPr>
          <w:i/>
          <w:szCs w:val="24"/>
        </w:rPr>
        <w:t xml:space="preserve">Art du Petit Champlain </w:t>
      </w:r>
      <w:proofErr w:type="spellStart"/>
      <w:r w:rsidR="00DE71A4" w:rsidRPr="00922A86">
        <w:rPr>
          <w:i/>
          <w:szCs w:val="24"/>
        </w:rPr>
        <w:t>inc</w:t>
      </w:r>
      <w:proofErr w:type="spellEnd"/>
      <w:r w:rsidR="00DE71A4" w:rsidRPr="00922A86">
        <w:rPr>
          <w:szCs w:val="24"/>
        </w:rPr>
        <w:t>., 2002 CSC 34, [2002] 2 R.C.S. 336</w:t>
      </w:r>
      <w:r w:rsidR="00DE71A4" w:rsidRPr="00922A86">
        <w:rPr>
          <w:rStyle w:val="ssens"/>
          <w:szCs w:val="24"/>
        </w:rPr>
        <w:t xml:space="preserve">; </w:t>
      </w:r>
      <w:r w:rsidR="00DE71A4" w:rsidRPr="00922A86">
        <w:rPr>
          <w:rStyle w:val="ssens"/>
          <w:i/>
          <w:szCs w:val="24"/>
        </w:rPr>
        <w:t>Compo Co. c. Blue Crest Music Inc.</w:t>
      </w:r>
      <w:r w:rsidR="00DE71A4" w:rsidRPr="00922A86">
        <w:rPr>
          <w:rStyle w:val="ssens"/>
          <w:szCs w:val="24"/>
        </w:rPr>
        <w:t xml:space="preserve">, [1980] 1 R.C.S. 357; </w:t>
      </w:r>
      <w:r w:rsidR="00DE71A4" w:rsidRPr="00922A86">
        <w:rPr>
          <w:rStyle w:val="ssens"/>
          <w:i/>
          <w:szCs w:val="24"/>
        </w:rPr>
        <w:t>Bishop c. Stevens</w:t>
      </w:r>
      <w:r w:rsidR="00DE71A4" w:rsidRPr="00922A86">
        <w:rPr>
          <w:rStyle w:val="ssens"/>
          <w:szCs w:val="24"/>
        </w:rPr>
        <w:t>, [1990] 2 R.C.S. 467</w:t>
      </w:r>
      <w:r w:rsidR="00DE71A4" w:rsidRPr="00922A86">
        <w:rPr>
          <w:szCs w:val="24"/>
        </w:rPr>
        <w:t xml:space="preserve">; </w:t>
      </w:r>
      <w:r w:rsidR="00474777" w:rsidRPr="00922A86">
        <w:rPr>
          <w:i/>
          <w:szCs w:val="24"/>
        </w:rPr>
        <w:t xml:space="preserve">Tarif des </w:t>
      </w:r>
      <w:r w:rsidR="00CF4791">
        <w:rPr>
          <w:i/>
          <w:szCs w:val="24"/>
        </w:rPr>
        <w:t>redevances, E</w:t>
      </w:r>
      <w:r w:rsidR="00474777" w:rsidRPr="00922A86">
        <w:rPr>
          <w:i/>
          <w:szCs w:val="24"/>
        </w:rPr>
        <w:t>xécution publique d</w:t>
      </w:r>
      <w:r w:rsidR="00951CA2">
        <w:rPr>
          <w:i/>
          <w:szCs w:val="24"/>
        </w:rPr>
        <w:t>’</w:t>
      </w:r>
      <w:r w:rsidR="00474777" w:rsidRPr="00922A86">
        <w:rPr>
          <w:i/>
          <w:szCs w:val="24"/>
        </w:rPr>
        <w:t>œuvres musicales 1996, 1997, 1998 (Tarif 22, Internet)</w:t>
      </w:r>
      <w:r w:rsidR="00474777" w:rsidRPr="00922A86">
        <w:rPr>
          <w:szCs w:val="24"/>
        </w:rPr>
        <w:t xml:space="preserve">, </w:t>
      </w:r>
      <w:r w:rsidR="004243DA" w:rsidRPr="00922A86">
        <w:rPr>
          <w:szCs w:val="24"/>
        </w:rPr>
        <w:t>www.cb</w:t>
      </w:r>
      <w:r w:rsidR="002F38C1">
        <w:rPr>
          <w:szCs w:val="24"/>
        </w:rPr>
        <w:t>-</w:t>
      </w:r>
      <w:r w:rsidR="004243DA" w:rsidRPr="00922A86">
        <w:rPr>
          <w:szCs w:val="24"/>
        </w:rPr>
        <w:t>cda.gc.ca/decisions/1999/19991027</w:t>
      </w:r>
      <w:r w:rsidR="002F38C1">
        <w:rPr>
          <w:szCs w:val="24"/>
        </w:rPr>
        <w:t>-</w:t>
      </w:r>
      <w:r w:rsidR="004243DA" w:rsidRPr="00922A86">
        <w:rPr>
          <w:szCs w:val="24"/>
        </w:rPr>
        <w:t>m</w:t>
      </w:r>
      <w:r w:rsidR="002F38C1">
        <w:rPr>
          <w:szCs w:val="24"/>
        </w:rPr>
        <w:t>-</w:t>
      </w:r>
      <w:r w:rsidR="004243DA" w:rsidRPr="00922A86">
        <w:rPr>
          <w:szCs w:val="24"/>
        </w:rPr>
        <w:t>b.pdf;</w:t>
      </w:r>
      <w:r w:rsidR="000F1E09" w:rsidRPr="00922A86">
        <w:rPr>
          <w:szCs w:val="24"/>
        </w:rPr>
        <w:t xml:space="preserve"> </w:t>
      </w:r>
      <w:r w:rsidR="000F1E09" w:rsidRPr="00922A86">
        <w:rPr>
          <w:i/>
          <w:szCs w:val="24"/>
        </w:rPr>
        <w:t xml:space="preserve">Société canadienne des auteurs, compositeurs et éditeurs de musique c. </w:t>
      </w:r>
      <w:proofErr w:type="spellStart"/>
      <w:r w:rsidR="000F1E09" w:rsidRPr="00922A86">
        <w:rPr>
          <w:i/>
          <w:szCs w:val="24"/>
        </w:rPr>
        <w:t>Assoc</w:t>
      </w:r>
      <w:proofErr w:type="spellEnd"/>
      <w:r w:rsidR="000F1E09" w:rsidRPr="00922A86">
        <w:rPr>
          <w:i/>
          <w:szCs w:val="24"/>
        </w:rPr>
        <w:t>. canadienne des fournisseurs Internet</w:t>
      </w:r>
      <w:r w:rsidR="000F1E09" w:rsidRPr="00922A86">
        <w:rPr>
          <w:szCs w:val="24"/>
        </w:rPr>
        <w:t>, 2004 CSC 45, [2004] 2 R.C.S. 427;</w:t>
      </w:r>
      <w:r w:rsidR="00CF4791">
        <w:rPr>
          <w:szCs w:val="24"/>
        </w:rPr>
        <w:t xml:space="preserve"> </w:t>
      </w:r>
      <w:r w:rsidR="00CF4791" w:rsidRPr="00CF4791">
        <w:rPr>
          <w:i/>
          <w:szCs w:val="24"/>
        </w:rPr>
        <w:t>Tarif des redevances,</w:t>
      </w:r>
      <w:r w:rsidR="00CF4791">
        <w:rPr>
          <w:szCs w:val="24"/>
        </w:rPr>
        <w:t xml:space="preserve"> </w:t>
      </w:r>
      <w:r w:rsidR="008031EC" w:rsidRPr="00922A86">
        <w:rPr>
          <w:i/>
          <w:szCs w:val="24"/>
        </w:rPr>
        <w:t>Exécution publique d</w:t>
      </w:r>
      <w:r w:rsidR="00951CA2">
        <w:rPr>
          <w:i/>
          <w:szCs w:val="24"/>
        </w:rPr>
        <w:t>’</w:t>
      </w:r>
      <w:r w:rsidR="008031EC" w:rsidRPr="00922A86">
        <w:rPr>
          <w:i/>
          <w:szCs w:val="24"/>
        </w:rPr>
        <w:t>œuvres musicales</w:t>
      </w:r>
      <w:r w:rsidR="00CF4791">
        <w:rPr>
          <w:i/>
          <w:szCs w:val="24"/>
        </w:rPr>
        <w:t xml:space="preserve"> (Tarifs 22.B à 22.G</w:t>
      </w:r>
      <w:r w:rsidR="00CF4791" w:rsidRPr="002D6374">
        <w:rPr>
          <w:i/>
          <w:szCs w:val="24"/>
        </w:rPr>
        <w:t>)</w:t>
      </w:r>
      <w:r w:rsidR="00CF4791" w:rsidRPr="002D6374">
        <w:rPr>
          <w:szCs w:val="24"/>
        </w:rPr>
        <w:t>, www.cb-cda.gc.ca/decisions/2008/20081024-m-b.pdf</w:t>
      </w:r>
      <w:r w:rsidR="00DE034F" w:rsidRPr="00922A86">
        <w:rPr>
          <w:szCs w:val="24"/>
        </w:rPr>
        <w:t xml:space="preserve">; </w:t>
      </w:r>
      <w:r w:rsidR="00DE034F" w:rsidRPr="00922A86">
        <w:rPr>
          <w:i/>
          <w:szCs w:val="24"/>
        </w:rPr>
        <w:t xml:space="preserve">Shaw </w:t>
      </w:r>
      <w:proofErr w:type="spellStart"/>
      <w:r w:rsidR="00DE034F" w:rsidRPr="00922A86">
        <w:rPr>
          <w:i/>
          <w:szCs w:val="24"/>
        </w:rPr>
        <w:t>Cablesystems</w:t>
      </w:r>
      <w:proofErr w:type="spellEnd"/>
      <w:r w:rsidR="00DE034F" w:rsidRPr="00922A86">
        <w:rPr>
          <w:i/>
          <w:szCs w:val="24"/>
        </w:rPr>
        <w:t xml:space="preserve"> G.</w:t>
      </w:r>
      <w:r w:rsidR="0010710D" w:rsidRPr="00922A86">
        <w:rPr>
          <w:i/>
          <w:szCs w:val="24"/>
        </w:rPr>
        <w:t>P. </w:t>
      </w:r>
      <w:r w:rsidR="00DE034F" w:rsidRPr="00922A86">
        <w:rPr>
          <w:i/>
          <w:szCs w:val="24"/>
        </w:rPr>
        <w:t>c. Société canadienne des auteurs, compositeurs et éditeurs de musique</w:t>
      </w:r>
      <w:r w:rsidR="00DE034F" w:rsidRPr="00922A86">
        <w:rPr>
          <w:szCs w:val="24"/>
        </w:rPr>
        <w:t>, 2010 CAF 220 (</w:t>
      </w:r>
      <w:proofErr w:type="spellStart"/>
      <w:r w:rsidR="00DE034F" w:rsidRPr="00922A86">
        <w:rPr>
          <w:szCs w:val="24"/>
        </w:rPr>
        <w:t>CanLII</w:t>
      </w:r>
      <w:proofErr w:type="spellEnd"/>
      <w:r w:rsidR="00DE034F" w:rsidRPr="00922A86">
        <w:rPr>
          <w:szCs w:val="24"/>
        </w:rPr>
        <w:t>)</w:t>
      </w:r>
      <w:r w:rsidR="007C33DA" w:rsidRPr="00922A86">
        <w:rPr>
          <w:szCs w:val="24"/>
        </w:rPr>
        <w:t xml:space="preserve">; </w:t>
      </w:r>
      <w:r w:rsidR="007C33DA" w:rsidRPr="00AD1304">
        <w:rPr>
          <w:i/>
          <w:szCs w:val="24"/>
        </w:rPr>
        <w:t>Rogers Communications Inc. c. Société canadienne des auteurs, compositeurs et éditeurs de musique</w:t>
      </w:r>
      <w:r w:rsidR="007C33DA" w:rsidRPr="00AD1304">
        <w:rPr>
          <w:szCs w:val="24"/>
        </w:rPr>
        <w:t xml:space="preserve">, </w:t>
      </w:r>
      <w:r w:rsidR="007C33DA" w:rsidRPr="00922A86">
        <w:rPr>
          <w:szCs w:val="24"/>
        </w:rPr>
        <w:t xml:space="preserve">2012 CSC </w:t>
      </w:r>
      <w:r w:rsidR="003B7FB9" w:rsidRPr="00922A86">
        <w:rPr>
          <w:szCs w:val="24"/>
        </w:rPr>
        <w:t>35</w:t>
      </w:r>
      <w:r w:rsidR="00A4109D">
        <w:rPr>
          <w:szCs w:val="24"/>
        </w:rPr>
        <w:t xml:space="preserve">, [2012] 2 R.C.S. </w:t>
      </w:r>
      <w:r w:rsidR="00E55C85">
        <w:rPr>
          <w:szCs w:val="24"/>
        </w:rPr>
        <w:t>283</w:t>
      </w:r>
      <w:r w:rsidR="00450EC8" w:rsidRPr="00922A86">
        <w:rPr>
          <w:szCs w:val="24"/>
        </w:rPr>
        <w:t xml:space="preserve">; </w:t>
      </w:r>
      <w:r w:rsidR="00450EC8" w:rsidRPr="00922A86">
        <w:rPr>
          <w:i/>
          <w:szCs w:val="24"/>
        </w:rPr>
        <w:t xml:space="preserve">CCH Canadienne </w:t>
      </w:r>
      <w:proofErr w:type="spellStart"/>
      <w:r w:rsidR="00450EC8" w:rsidRPr="00922A86">
        <w:rPr>
          <w:i/>
          <w:szCs w:val="24"/>
        </w:rPr>
        <w:t>Ltée</w:t>
      </w:r>
      <w:proofErr w:type="spellEnd"/>
      <w:r w:rsidR="00450EC8" w:rsidRPr="00922A86">
        <w:rPr>
          <w:i/>
          <w:szCs w:val="24"/>
        </w:rPr>
        <w:t xml:space="preserve"> c. Barreau du Haut</w:t>
      </w:r>
      <w:r w:rsidR="002F38C1">
        <w:rPr>
          <w:i/>
          <w:szCs w:val="24"/>
        </w:rPr>
        <w:t>-</w:t>
      </w:r>
      <w:r w:rsidR="00450EC8" w:rsidRPr="00922A86">
        <w:rPr>
          <w:i/>
          <w:szCs w:val="24"/>
        </w:rPr>
        <w:t>Canada</w:t>
      </w:r>
      <w:r w:rsidR="00450EC8" w:rsidRPr="00922A86">
        <w:rPr>
          <w:szCs w:val="24"/>
        </w:rPr>
        <w:t>, 2004 CSC 13, [2004] 1 R.C.S. 339</w:t>
      </w:r>
      <w:r w:rsidR="005C60A0" w:rsidRPr="00922A86">
        <w:rPr>
          <w:szCs w:val="24"/>
        </w:rPr>
        <w:t xml:space="preserve">; </w:t>
      </w:r>
      <w:proofErr w:type="spellStart"/>
      <w:r w:rsidR="005C60A0" w:rsidRPr="00922A86">
        <w:rPr>
          <w:i/>
          <w:szCs w:val="24"/>
        </w:rPr>
        <w:lastRenderedPageBreak/>
        <w:t>Assoc</w:t>
      </w:r>
      <w:proofErr w:type="spellEnd"/>
      <w:r w:rsidR="005C60A0" w:rsidRPr="00922A86">
        <w:rPr>
          <w:i/>
          <w:szCs w:val="24"/>
        </w:rPr>
        <w:t xml:space="preserve">. </w:t>
      </w:r>
      <w:proofErr w:type="gramStart"/>
      <w:r w:rsidR="005C60A0" w:rsidRPr="00922A86">
        <w:rPr>
          <w:i/>
          <w:szCs w:val="24"/>
        </w:rPr>
        <w:t>canadienne</w:t>
      </w:r>
      <w:proofErr w:type="gramEnd"/>
      <w:r w:rsidR="005C60A0" w:rsidRPr="00922A86">
        <w:rPr>
          <w:i/>
          <w:szCs w:val="24"/>
        </w:rPr>
        <w:t xml:space="preserve"> des télé</w:t>
      </w:r>
      <w:r w:rsidR="005C60A0" w:rsidRPr="00922A86">
        <w:rPr>
          <w:rStyle w:val="ssens"/>
          <w:i/>
          <w:szCs w:val="24"/>
        </w:rPr>
        <w:t xml:space="preserve">communications sans fil c. </w:t>
      </w:r>
      <w:proofErr w:type="spellStart"/>
      <w:r w:rsidR="005C60A0" w:rsidRPr="00922A86">
        <w:rPr>
          <w:rStyle w:val="ssens"/>
          <w:i/>
          <w:szCs w:val="24"/>
        </w:rPr>
        <w:t>Societé</w:t>
      </w:r>
      <w:proofErr w:type="spellEnd"/>
      <w:r w:rsidR="005C60A0" w:rsidRPr="00922A86">
        <w:rPr>
          <w:rStyle w:val="ssens"/>
          <w:i/>
          <w:szCs w:val="24"/>
        </w:rPr>
        <w:t xml:space="preserve"> canadienne des auteurs, compositeurs et éditeurs de musique</w:t>
      </w:r>
      <w:r w:rsidR="005C60A0" w:rsidRPr="00922A86">
        <w:rPr>
          <w:rStyle w:val="ssens"/>
          <w:szCs w:val="24"/>
        </w:rPr>
        <w:t>, 2008 CAF 6, [2008] 3 R.C.F. 539, autorisation d</w:t>
      </w:r>
      <w:r w:rsidR="00951CA2">
        <w:rPr>
          <w:rStyle w:val="ssens"/>
          <w:szCs w:val="24"/>
        </w:rPr>
        <w:t>’</w:t>
      </w:r>
      <w:r w:rsidR="005C60A0" w:rsidRPr="00922A86">
        <w:rPr>
          <w:rStyle w:val="ssens"/>
          <w:szCs w:val="24"/>
        </w:rPr>
        <w:t>appel refusée, [2008] 2 R.C.S. vi</w:t>
      </w:r>
      <w:r w:rsidR="00C6266E" w:rsidRPr="00922A86">
        <w:rPr>
          <w:rStyle w:val="ssens"/>
          <w:szCs w:val="24"/>
        </w:rPr>
        <w:t xml:space="preserve">; </w:t>
      </w:r>
      <w:proofErr w:type="spellStart"/>
      <w:r w:rsidR="00C6266E" w:rsidRPr="00922A86">
        <w:rPr>
          <w:rStyle w:val="ssens"/>
          <w:i/>
          <w:szCs w:val="24"/>
        </w:rPr>
        <w:t>C</w:t>
      </w:r>
      <w:r w:rsidR="0030390A" w:rsidRPr="00922A86">
        <w:rPr>
          <w:rStyle w:val="ssens"/>
          <w:i/>
          <w:szCs w:val="24"/>
        </w:rPr>
        <w:t>omposers</w:t>
      </w:r>
      <w:proofErr w:type="spellEnd"/>
      <w:r w:rsidR="0030390A" w:rsidRPr="00922A86">
        <w:rPr>
          <w:rStyle w:val="ssens"/>
          <w:i/>
          <w:szCs w:val="24"/>
        </w:rPr>
        <w:t xml:space="preserve">, </w:t>
      </w:r>
      <w:proofErr w:type="spellStart"/>
      <w:r w:rsidR="0030390A" w:rsidRPr="00922A86">
        <w:rPr>
          <w:rStyle w:val="ssens"/>
          <w:i/>
          <w:szCs w:val="24"/>
        </w:rPr>
        <w:t>Author</w:t>
      </w:r>
      <w:r w:rsidR="00A4109D">
        <w:rPr>
          <w:rStyle w:val="ssens"/>
          <w:i/>
          <w:szCs w:val="24"/>
        </w:rPr>
        <w:t>s</w:t>
      </w:r>
      <w:proofErr w:type="spellEnd"/>
      <w:r w:rsidR="0030390A" w:rsidRPr="00922A86">
        <w:rPr>
          <w:rStyle w:val="ssens"/>
          <w:i/>
          <w:szCs w:val="24"/>
        </w:rPr>
        <w:t xml:space="preserve"> and</w:t>
      </w:r>
      <w:r w:rsidR="00E55C85">
        <w:rPr>
          <w:rStyle w:val="ssens"/>
          <w:i/>
          <w:szCs w:val="24"/>
        </w:rPr>
        <w:t xml:space="preserve"> </w:t>
      </w:r>
      <w:proofErr w:type="spellStart"/>
      <w:r w:rsidR="00E55C85">
        <w:rPr>
          <w:rStyle w:val="ssens"/>
          <w:i/>
          <w:szCs w:val="24"/>
        </w:rPr>
        <w:t>Publishers</w:t>
      </w:r>
      <w:proofErr w:type="spellEnd"/>
      <w:r w:rsidR="00E55C85">
        <w:rPr>
          <w:rStyle w:val="ssens"/>
          <w:i/>
          <w:szCs w:val="24"/>
        </w:rPr>
        <w:t xml:space="preserve"> </w:t>
      </w:r>
      <w:proofErr w:type="spellStart"/>
      <w:r w:rsidR="00E55C85">
        <w:rPr>
          <w:rStyle w:val="ssens"/>
          <w:i/>
          <w:szCs w:val="24"/>
        </w:rPr>
        <w:t>Assoc</w:t>
      </w:r>
      <w:proofErr w:type="spellEnd"/>
      <w:r w:rsidR="00C6266E" w:rsidRPr="00922A86">
        <w:rPr>
          <w:rStyle w:val="ssens"/>
          <w:i/>
          <w:szCs w:val="24"/>
        </w:rPr>
        <w:t xml:space="preserve">. of Canada Ltd. c. CTV </w:t>
      </w:r>
      <w:proofErr w:type="spellStart"/>
      <w:r w:rsidR="00C6266E" w:rsidRPr="00922A86">
        <w:rPr>
          <w:rStyle w:val="ssens"/>
          <w:i/>
          <w:szCs w:val="24"/>
        </w:rPr>
        <w:t>Television</w:t>
      </w:r>
      <w:proofErr w:type="spellEnd"/>
      <w:r w:rsidR="00C6266E" w:rsidRPr="00922A86">
        <w:rPr>
          <w:rStyle w:val="ssens"/>
          <w:i/>
          <w:szCs w:val="24"/>
        </w:rPr>
        <w:t xml:space="preserve"> Network Ltd.</w:t>
      </w:r>
      <w:r w:rsidR="00C6266E" w:rsidRPr="00922A86">
        <w:rPr>
          <w:rStyle w:val="ssens"/>
          <w:szCs w:val="24"/>
        </w:rPr>
        <w:t>, [1968] R.C.S. 676</w:t>
      </w:r>
      <w:r w:rsidR="00051B3F" w:rsidRPr="00922A86">
        <w:rPr>
          <w:rStyle w:val="ssens"/>
          <w:szCs w:val="24"/>
        </w:rPr>
        <w:t xml:space="preserve">; </w:t>
      </w:r>
      <w:r w:rsidR="00051B3F" w:rsidRPr="00922A86">
        <w:rPr>
          <w:i/>
          <w:szCs w:val="24"/>
        </w:rPr>
        <w:t xml:space="preserve">Canadian </w:t>
      </w:r>
      <w:proofErr w:type="spellStart"/>
      <w:r w:rsidR="00051B3F" w:rsidRPr="00922A86">
        <w:rPr>
          <w:i/>
          <w:szCs w:val="24"/>
        </w:rPr>
        <w:t>Admiral</w:t>
      </w:r>
      <w:proofErr w:type="spellEnd"/>
      <w:r w:rsidR="00051B3F" w:rsidRPr="00922A86">
        <w:rPr>
          <w:i/>
          <w:szCs w:val="24"/>
        </w:rPr>
        <w:t xml:space="preserve"> Cor</w:t>
      </w:r>
      <w:r w:rsidR="0010710D" w:rsidRPr="00922A86">
        <w:rPr>
          <w:i/>
          <w:szCs w:val="24"/>
        </w:rPr>
        <w:t>p.</w:t>
      </w:r>
      <w:r w:rsidR="00CB4624">
        <w:rPr>
          <w:i/>
          <w:szCs w:val="24"/>
        </w:rPr>
        <w:t xml:space="preserve"> </w:t>
      </w:r>
      <w:r w:rsidR="00051B3F" w:rsidRPr="00922A86">
        <w:rPr>
          <w:i/>
          <w:szCs w:val="24"/>
        </w:rPr>
        <w:t>c. Redif</w:t>
      </w:r>
      <w:r w:rsidR="00A65FC4" w:rsidRPr="00922A86">
        <w:rPr>
          <w:i/>
          <w:szCs w:val="24"/>
        </w:rPr>
        <w:t>f</w:t>
      </w:r>
      <w:r w:rsidR="00051B3F" w:rsidRPr="00922A86">
        <w:rPr>
          <w:i/>
          <w:szCs w:val="24"/>
        </w:rPr>
        <w:t>usion, Inc.</w:t>
      </w:r>
      <w:r w:rsidR="00051B3F" w:rsidRPr="00922A86">
        <w:rPr>
          <w:szCs w:val="24"/>
        </w:rPr>
        <w:t>, [1954]</w:t>
      </w:r>
      <w:r w:rsidR="00A4109D">
        <w:rPr>
          <w:szCs w:val="24"/>
        </w:rPr>
        <w:t xml:space="preserve"> R.C. de l’É</w:t>
      </w:r>
      <w:r w:rsidR="00051B3F" w:rsidRPr="00922A86">
        <w:rPr>
          <w:szCs w:val="24"/>
        </w:rPr>
        <w:t>. 382</w:t>
      </w:r>
      <w:r w:rsidR="008176AD" w:rsidRPr="00922A86">
        <w:rPr>
          <w:rStyle w:val="ssens"/>
          <w:szCs w:val="24"/>
        </w:rPr>
        <w:t xml:space="preserve">; </w:t>
      </w:r>
      <w:r w:rsidR="008176AD" w:rsidRPr="00922A86">
        <w:rPr>
          <w:i/>
          <w:szCs w:val="24"/>
        </w:rPr>
        <w:t xml:space="preserve">United States c. American Society of </w:t>
      </w:r>
      <w:proofErr w:type="spellStart"/>
      <w:r w:rsidR="008176AD" w:rsidRPr="00922A86">
        <w:rPr>
          <w:i/>
          <w:szCs w:val="24"/>
        </w:rPr>
        <w:t>Composers</w:t>
      </w:r>
      <w:proofErr w:type="spellEnd"/>
      <w:r w:rsidR="008176AD" w:rsidRPr="00922A86">
        <w:rPr>
          <w:i/>
          <w:szCs w:val="24"/>
        </w:rPr>
        <w:t xml:space="preserve">, </w:t>
      </w:r>
      <w:proofErr w:type="spellStart"/>
      <w:r w:rsidR="008176AD" w:rsidRPr="00922A86">
        <w:rPr>
          <w:i/>
          <w:szCs w:val="24"/>
        </w:rPr>
        <w:t>Authors</w:t>
      </w:r>
      <w:proofErr w:type="spellEnd"/>
      <w:r w:rsidR="008176AD" w:rsidRPr="00922A86">
        <w:rPr>
          <w:i/>
          <w:szCs w:val="24"/>
        </w:rPr>
        <w:t xml:space="preserve"> and </w:t>
      </w:r>
      <w:proofErr w:type="spellStart"/>
      <w:r w:rsidR="008176AD" w:rsidRPr="00922A86">
        <w:rPr>
          <w:i/>
          <w:szCs w:val="24"/>
        </w:rPr>
        <w:t>Publishers</w:t>
      </w:r>
      <w:proofErr w:type="spellEnd"/>
      <w:r w:rsidR="008176AD" w:rsidRPr="00922A86">
        <w:rPr>
          <w:szCs w:val="24"/>
        </w:rPr>
        <w:t xml:space="preserve">, 627 F.3d 64 (2010), </w:t>
      </w:r>
      <w:proofErr w:type="spellStart"/>
      <w:r w:rsidR="008176AD" w:rsidRPr="00922A86">
        <w:rPr>
          <w:szCs w:val="24"/>
        </w:rPr>
        <w:t>cert</w:t>
      </w:r>
      <w:proofErr w:type="spellEnd"/>
      <w:r w:rsidR="008176AD" w:rsidRPr="00922A86">
        <w:rPr>
          <w:szCs w:val="24"/>
        </w:rPr>
        <w:t xml:space="preserve">. </w:t>
      </w:r>
      <w:proofErr w:type="gramStart"/>
      <w:r w:rsidR="00220E17">
        <w:rPr>
          <w:szCs w:val="24"/>
        </w:rPr>
        <w:t>r</w:t>
      </w:r>
      <w:r w:rsidR="008176AD" w:rsidRPr="00922A86">
        <w:rPr>
          <w:szCs w:val="24"/>
        </w:rPr>
        <w:t>efusé</w:t>
      </w:r>
      <w:proofErr w:type="gramEnd"/>
      <w:r w:rsidR="00E55C85">
        <w:rPr>
          <w:szCs w:val="24"/>
        </w:rPr>
        <w:t xml:space="preserve"> (C.S.É.-U., 3 octobre 2011, n</w:t>
      </w:r>
      <w:r w:rsidR="00E55C85" w:rsidRPr="00E55C85">
        <w:rPr>
          <w:szCs w:val="24"/>
          <w:vertAlign w:val="superscript"/>
        </w:rPr>
        <w:t>o</w:t>
      </w:r>
      <w:r w:rsidR="00E55C85">
        <w:rPr>
          <w:szCs w:val="24"/>
        </w:rPr>
        <w:t xml:space="preserve"> 10-1337</w:t>
      </w:r>
      <w:r w:rsidR="00233314">
        <w:rPr>
          <w:szCs w:val="24"/>
        </w:rPr>
        <w:t>)</w:t>
      </w:r>
      <w:r w:rsidR="00CF2645" w:rsidRPr="00922A86">
        <w:rPr>
          <w:szCs w:val="24"/>
        </w:rPr>
        <w:t>;</w:t>
      </w:r>
      <w:r w:rsidR="00334EF8" w:rsidRPr="00922A86">
        <w:rPr>
          <w:szCs w:val="24"/>
        </w:rPr>
        <w:t xml:space="preserve"> </w:t>
      </w:r>
      <w:r w:rsidR="00334EF8" w:rsidRPr="00922A86">
        <w:rPr>
          <w:i/>
          <w:szCs w:val="24"/>
        </w:rPr>
        <w:t>Robertson c. Thomson Corp.</w:t>
      </w:r>
      <w:r w:rsidR="00334EF8" w:rsidRPr="00922A86">
        <w:rPr>
          <w:szCs w:val="24"/>
        </w:rPr>
        <w:t>, 2006 CSC 43, [2006] 2 R.C.S. 363</w:t>
      </w:r>
      <w:r w:rsidR="00EA22AB" w:rsidRPr="00922A86">
        <w:rPr>
          <w:szCs w:val="24"/>
        </w:rPr>
        <w:t>.</w:t>
      </w:r>
    </w:p>
    <w:p w:rsidR="00231F3A" w:rsidRPr="00922A86" w:rsidRDefault="0043088E" w:rsidP="00EF5A32">
      <w:pPr>
        <w:pStyle w:val="SCCNormalDoubleSpacing"/>
        <w:keepNext/>
        <w:spacing w:after="480"/>
        <w:rPr>
          <w:szCs w:val="24"/>
        </w:rPr>
      </w:pPr>
      <w:r w:rsidRPr="00922A86">
        <w:rPr>
          <w:b/>
          <w:szCs w:val="24"/>
        </w:rPr>
        <w:t>Lois</w:t>
      </w:r>
      <w:r w:rsidR="002E6705" w:rsidRPr="00922A86">
        <w:rPr>
          <w:b/>
          <w:szCs w:val="24"/>
        </w:rPr>
        <w:t xml:space="preserve"> </w:t>
      </w:r>
      <w:r w:rsidR="008A6558" w:rsidRPr="00922A86">
        <w:rPr>
          <w:b/>
          <w:szCs w:val="24"/>
        </w:rPr>
        <w:t>et</w:t>
      </w:r>
      <w:r w:rsidR="002E6705" w:rsidRPr="00922A86">
        <w:rPr>
          <w:b/>
          <w:szCs w:val="24"/>
        </w:rPr>
        <w:t xml:space="preserve"> </w:t>
      </w:r>
      <w:r w:rsidRPr="00922A86">
        <w:rPr>
          <w:b/>
          <w:szCs w:val="24"/>
        </w:rPr>
        <w:t>rè</w:t>
      </w:r>
      <w:r w:rsidR="002E6705" w:rsidRPr="00922A86">
        <w:rPr>
          <w:b/>
          <w:szCs w:val="24"/>
        </w:rPr>
        <w:t>gl</w:t>
      </w:r>
      <w:r w:rsidRPr="00922A86">
        <w:rPr>
          <w:b/>
          <w:szCs w:val="24"/>
        </w:rPr>
        <w:t>ements</w:t>
      </w:r>
      <w:r w:rsidR="002E6705" w:rsidRPr="00922A86">
        <w:rPr>
          <w:b/>
          <w:szCs w:val="24"/>
        </w:rPr>
        <w:t xml:space="preserve"> </w:t>
      </w:r>
      <w:r w:rsidRPr="00922A86">
        <w:rPr>
          <w:b/>
          <w:szCs w:val="24"/>
        </w:rPr>
        <w:t>c</w:t>
      </w:r>
      <w:r w:rsidR="002E6705" w:rsidRPr="00922A86">
        <w:rPr>
          <w:b/>
          <w:szCs w:val="24"/>
        </w:rPr>
        <w:t>it</w:t>
      </w:r>
      <w:r w:rsidRPr="00922A86">
        <w:rPr>
          <w:b/>
          <w:szCs w:val="24"/>
        </w:rPr>
        <w:t>és</w:t>
      </w:r>
    </w:p>
    <w:p w:rsidR="00146EAD" w:rsidRPr="00922A86" w:rsidRDefault="008176AD" w:rsidP="0010710D">
      <w:pPr>
        <w:pStyle w:val="SCCNormalDoubleSpacing"/>
        <w:spacing w:after="240" w:line="240" w:lineRule="auto"/>
        <w:ind w:left="539" w:hanging="539"/>
        <w:rPr>
          <w:szCs w:val="24"/>
        </w:rPr>
      </w:pPr>
      <w:r w:rsidRPr="00922A86">
        <w:rPr>
          <w:szCs w:val="24"/>
        </w:rPr>
        <w:t>17 U.S.C. §</w:t>
      </w:r>
      <w:r w:rsidR="00233314" w:rsidRPr="00922A86">
        <w:rPr>
          <w:szCs w:val="24"/>
        </w:rPr>
        <w:t>§</w:t>
      </w:r>
      <w:r w:rsidRPr="00922A86">
        <w:rPr>
          <w:szCs w:val="24"/>
        </w:rPr>
        <w:t xml:space="preserve"> 101, 106(4)</w:t>
      </w:r>
      <w:r w:rsidR="00E55C85">
        <w:rPr>
          <w:szCs w:val="24"/>
        </w:rPr>
        <w:t xml:space="preserve"> (2000)</w:t>
      </w:r>
      <w:r w:rsidRPr="00922A86">
        <w:rPr>
          <w:szCs w:val="24"/>
        </w:rPr>
        <w:t>.</w:t>
      </w:r>
    </w:p>
    <w:p w:rsidR="00146EAD" w:rsidRPr="00922A86" w:rsidRDefault="00146EAD" w:rsidP="0010710D">
      <w:pPr>
        <w:pStyle w:val="SCCNormalDoubleSpacing"/>
        <w:spacing w:after="240" w:line="240" w:lineRule="auto"/>
        <w:ind w:left="539" w:hanging="539"/>
        <w:rPr>
          <w:szCs w:val="24"/>
        </w:rPr>
      </w:pPr>
      <w:r w:rsidRPr="00922A86">
        <w:rPr>
          <w:i/>
          <w:szCs w:val="24"/>
        </w:rPr>
        <w:t>Loi de 1921 concernant le droit d</w:t>
      </w:r>
      <w:r w:rsidR="00951CA2">
        <w:rPr>
          <w:i/>
          <w:szCs w:val="24"/>
        </w:rPr>
        <w:t>’</w:t>
      </w:r>
      <w:r w:rsidRPr="00922A86">
        <w:rPr>
          <w:i/>
          <w:szCs w:val="24"/>
        </w:rPr>
        <w:t>auteur</w:t>
      </w:r>
      <w:r w:rsidRPr="00922A86">
        <w:rPr>
          <w:szCs w:val="24"/>
        </w:rPr>
        <w:t xml:space="preserve">, </w:t>
      </w:r>
      <w:r w:rsidR="00CD7352">
        <w:rPr>
          <w:szCs w:val="24"/>
        </w:rPr>
        <w:t xml:space="preserve">S.C. 1921, </w:t>
      </w:r>
      <w:r w:rsidR="0010710D" w:rsidRPr="00922A86">
        <w:rPr>
          <w:szCs w:val="24"/>
        </w:rPr>
        <w:t>ch. </w:t>
      </w:r>
      <w:r w:rsidRPr="00922A86">
        <w:rPr>
          <w:szCs w:val="24"/>
        </w:rPr>
        <w:t xml:space="preserve">24, </w:t>
      </w:r>
      <w:r w:rsidR="0010710D" w:rsidRPr="00922A86">
        <w:rPr>
          <w:szCs w:val="24"/>
        </w:rPr>
        <w:t>art. </w:t>
      </w:r>
      <w:r w:rsidRPr="00922A86">
        <w:rPr>
          <w:szCs w:val="24"/>
        </w:rPr>
        <w:t>2</w:t>
      </w:r>
      <w:r w:rsidR="00233314">
        <w:rPr>
          <w:i/>
          <w:szCs w:val="24"/>
        </w:rPr>
        <w:t>d</w:t>
      </w:r>
      <w:r w:rsidRPr="00922A86">
        <w:rPr>
          <w:szCs w:val="24"/>
        </w:rPr>
        <w:t>) « exécution », 3(1).</w:t>
      </w:r>
    </w:p>
    <w:p w:rsidR="00CB40A6" w:rsidRDefault="00CB40A6" w:rsidP="0010710D">
      <w:pPr>
        <w:pStyle w:val="SCCNormalDoubleSpacing"/>
        <w:spacing w:after="240" w:line="240" w:lineRule="auto"/>
        <w:ind w:left="539" w:hanging="539"/>
        <w:rPr>
          <w:szCs w:val="24"/>
        </w:rPr>
      </w:pPr>
      <w:r w:rsidRPr="00922A86">
        <w:rPr>
          <w:i/>
          <w:szCs w:val="24"/>
        </w:rPr>
        <w:t>Loi de mise en œuvre de l</w:t>
      </w:r>
      <w:r w:rsidR="00951CA2">
        <w:rPr>
          <w:i/>
          <w:szCs w:val="24"/>
        </w:rPr>
        <w:t>’</w:t>
      </w:r>
      <w:r w:rsidRPr="00922A86">
        <w:rPr>
          <w:i/>
          <w:szCs w:val="24"/>
        </w:rPr>
        <w:t>Accord de libre</w:t>
      </w:r>
      <w:r w:rsidR="00233314">
        <w:rPr>
          <w:i/>
          <w:szCs w:val="24"/>
        </w:rPr>
        <w:t>-</w:t>
      </w:r>
      <w:r w:rsidRPr="00922A86">
        <w:rPr>
          <w:i/>
          <w:szCs w:val="24"/>
        </w:rPr>
        <w:t>échange Canada — États</w:t>
      </w:r>
      <w:r w:rsidR="00233314">
        <w:rPr>
          <w:i/>
          <w:szCs w:val="24"/>
        </w:rPr>
        <w:t>-</w:t>
      </w:r>
      <w:r w:rsidRPr="00922A86">
        <w:rPr>
          <w:i/>
          <w:szCs w:val="24"/>
        </w:rPr>
        <w:t>Unis</w:t>
      </w:r>
      <w:r w:rsidRPr="00922A86">
        <w:rPr>
          <w:szCs w:val="24"/>
        </w:rPr>
        <w:t xml:space="preserve">, L.C. 1988, </w:t>
      </w:r>
      <w:r w:rsidR="0010710D" w:rsidRPr="00922A86">
        <w:rPr>
          <w:szCs w:val="24"/>
        </w:rPr>
        <w:t>ch. </w:t>
      </w:r>
      <w:r w:rsidRPr="00922A86">
        <w:rPr>
          <w:szCs w:val="24"/>
        </w:rPr>
        <w:t xml:space="preserve">65, </w:t>
      </w:r>
      <w:r w:rsidR="0010710D" w:rsidRPr="00922A86">
        <w:rPr>
          <w:szCs w:val="24"/>
        </w:rPr>
        <w:t>art. </w:t>
      </w:r>
      <w:r w:rsidRPr="00922A86">
        <w:rPr>
          <w:szCs w:val="24"/>
        </w:rPr>
        <w:t>61</w:t>
      </w:r>
      <w:r w:rsidR="00437831" w:rsidRPr="00922A86">
        <w:rPr>
          <w:szCs w:val="24"/>
        </w:rPr>
        <w:t xml:space="preserve"> à</w:t>
      </w:r>
      <w:r w:rsidRPr="00922A86">
        <w:rPr>
          <w:szCs w:val="24"/>
        </w:rPr>
        <w:t xml:space="preserve"> 6</w:t>
      </w:r>
      <w:r w:rsidR="00437831" w:rsidRPr="00922A86">
        <w:rPr>
          <w:szCs w:val="24"/>
        </w:rPr>
        <w:t>5</w:t>
      </w:r>
      <w:r w:rsidRPr="00922A86">
        <w:rPr>
          <w:szCs w:val="24"/>
        </w:rPr>
        <w:t xml:space="preserve">. </w:t>
      </w:r>
    </w:p>
    <w:p w:rsidR="00233314" w:rsidRPr="00922A86" w:rsidRDefault="00233314" w:rsidP="00233314">
      <w:pPr>
        <w:pStyle w:val="SCCNormalDoubleSpacing"/>
        <w:spacing w:after="240" w:line="240" w:lineRule="auto"/>
        <w:ind w:left="539" w:hanging="539"/>
        <w:rPr>
          <w:szCs w:val="24"/>
        </w:rPr>
      </w:pPr>
      <w:r w:rsidRPr="00922A86">
        <w:rPr>
          <w:i/>
          <w:szCs w:val="24"/>
        </w:rPr>
        <w:t xml:space="preserve">Loi </w:t>
      </w:r>
      <w:r>
        <w:rPr>
          <w:i/>
          <w:szCs w:val="24"/>
        </w:rPr>
        <w:t xml:space="preserve">modifiant </w:t>
      </w:r>
      <w:r w:rsidR="00220E17">
        <w:rPr>
          <w:i/>
          <w:szCs w:val="24"/>
        </w:rPr>
        <w:t xml:space="preserve">la Loi </w:t>
      </w:r>
      <w:r w:rsidRPr="00922A86">
        <w:rPr>
          <w:i/>
          <w:szCs w:val="24"/>
        </w:rPr>
        <w:t>sur le droit d</w:t>
      </w:r>
      <w:r>
        <w:rPr>
          <w:i/>
          <w:szCs w:val="24"/>
        </w:rPr>
        <w:t>’</w:t>
      </w:r>
      <w:r w:rsidRPr="00922A86">
        <w:rPr>
          <w:i/>
          <w:szCs w:val="24"/>
        </w:rPr>
        <w:t>auteur</w:t>
      </w:r>
      <w:r w:rsidRPr="00922A86">
        <w:rPr>
          <w:szCs w:val="24"/>
        </w:rPr>
        <w:t>, L.C. 1993, ch. 23, art. 3.</w:t>
      </w:r>
    </w:p>
    <w:p w:rsidR="00F17D43" w:rsidRPr="00922A86" w:rsidRDefault="00F17D43" w:rsidP="0010710D">
      <w:pPr>
        <w:pStyle w:val="SCCNormalDoubleSpacing"/>
        <w:spacing w:after="240" w:line="240" w:lineRule="auto"/>
        <w:ind w:left="539" w:hanging="539"/>
        <w:rPr>
          <w:szCs w:val="24"/>
          <w:lang w:bidi="en-US"/>
        </w:rPr>
      </w:pPr>
      <w:r w:rsidRPr="00922A86">
        <w:rPr>
          <w:i/>
          <w:szCs w:val="24"/>
        </w:rPr>
        <w:t>Loi modifiant la Loi sur le droit d</w:t>
      </w:r>
      <w:r w:rsidR="00951CA2">
        <w:rPr>
          <w:i/>
          <w:szCs w:val="24"/>
        </w:rPr>
        <w:t>’</w:t>
      </w:r>
      <w:r w:rsidRPr="00922A86">
        <w:rPr>
          <w:i/>
          <w:szCs w:val="24"/>
        </w:rPr>
        <w:t>auteur</w:t>
      </w:r>
      <w:r w:rsidRPr="00922A86">
        <w:rPr>
          <w:szCs w:val="24"/>
        </w:rPr>
        <w:t xml:space="preserve">, </w:t>
      </w:r>
      <w:r w:rsidR="00233314">
        <w:rPr>
          <w:szCs w:val="24"/>
          <w:lang w:bidi="en-US"/>
        </w:rPr>
        <w:t>L</w:t>
      </w:r>
      <w:r w:rsidRPr="00922A86">
        <w:rPr>
          <w:szCs w:val="24"/>
          <w:lang w:bidi="en-US"/>
        </w:rPr>
        <w:t xml:space="preserve">.C. 1997, </w:t>
      </w:r>
      <w:r w:rsidR="0010710D" w:rsidRPr="00922A86">
        <w:rPr>
          <w:szCs w:val="24"/>
          <w:lang w:bidi="en-US"/>
        </w:rPr>
        <w:t>ch. </w:t>
      </w:r>
      <w:r w:rsidRPr="00922A86">
        <w:rPr>
          <w:szCs w:val="24"/>
          <w:lang w:bidi="en-US"/>
        </w:rPr>
        <w:t xml:space="preserve">24, </w:t>
      </w:r>
      <w:r w:rsidR="0010710D" w:rsidRPr="00922A86">
        <w:rPr>
          <w:szCs w:val="24"/>
          <w:lang w:bidi="en-US"/>
        </w:rPr>
        <w:t>art. </w:t>
      </w:r>
      <w:r w:rsidR="00220E17">
        <w:rPr>
          <w:szCs w:val="24"/>
          <w:lang w:bidi="en-US"/>
        </w:rPr>
        <w:t xml:space="preserve">18, </w:t>
      </w:r>
      <w:r w:rsidRPr="00922A86">
        <w:rPr>
          <w:szCs w:val="24"/>
          <w:lang w:bidi="en-US"/>
        </w:rPr>
        <w:t>45.</w:t>
      </w:r>
    </w:p>
    <w:p w:rsidR="003E0F37" w:rsidRPr="00922A86" w:rsidRDefault="003E0F37" w:rsidP="0010710D">
      <w:pPr>
        <w:pStyle w:val="SCCNormalDoubleSpacing"/>
        <w:spacing w:after="240" w:line="240" w:lineRule="auto"/>
        <w:ind w:left="539" w:hanging="539"/>
        <w:rPr>
          <w:szCs w:val="24"/>
        </w:rPr>
      </w:pPr>
      <w:r w:rsidRPr="00922A86">
        <w:rPr>
          <w:i/>
          <w:szCs w:val="24"/>
        </w:rPr>
        <w:t>Loi modificative du droit d</w:t>
      </w:r>
      <w:r w:rsidR="00951CA2">
        <w:rPr>
          <w:i/>
          <w:szCs w:val="24"/>
        </w:rPr>
        <w:t>’</w:t>
      </w:r>
      <w:r w:rsidRPr="00922A86">
        <w:rPr>
          <w:i/>
          <w:szCs w:val="24"/>
        </w:rPr>
        <w:t>auteur, 1931</w:t>
      </w:r>
      <w:r w:rsidRPr="00922A86">
        <w:rPr>
          <w:szCs w:val="24"/>
        </w:rPr>
        <w:t xml:space="preserve">, </w:t>
      </w:r>
      <w:r w:rsidR="00CD7352">
        <w:rPr>
          <w:szCs w:val="24"/>
        </w:rPr>
        <w:t xml:space="preserve">S.C. 1931, </w:t>
      </w:r>
      <w:r w:rsidR="0010710D" w:rsidRPr="00922A86">
        <w:rPr>
          <w:szCs w:val="24"/>
        </w:rPr>
        <w:t>ch. </w:t>
      </w:r>
      <w:r w:rsidRPr="00922A86">
        <w:rPr>
          <w:szCs w:val="24"/>
        </w:rPr>
        <w:t xml:space="preserve">8, </w:t>
      </w:r>
      <w:r w:rsidR="0010710D" w:rsidRPr="00922A86">
        <w:rPr>
          <w:szCs w:val="24"/>
        </w:rPr>
        <w:t>art. </w:t>
      </w:r>
      <w:r w:rsidRPr="00922A86">
        <w:rPr>
          <w:szCs w:val="24"/>
        </w:rPr>
        <w:t>2(3) « représentation », 3.</w:t>
      </w:r>
    </w:p>
    <w:p w:rsidR="000A5321" w:rsidRPr="00922A86" w:rsidRDefault="005B1E27" w:rsidP="0010710D">
      <w:pPr>
        <w:pStyle w:val="SCCNormalDoubleSpacing"/>
        <w:spacing w:after="240" w:line="240" w:lineRule="auto"/>
        <w:ind w:left="539" w:hanging="539"/>
        <w:rPr>
          <w:szCs w:val="24"/>
        </w:rPr>
      </w:pPr>
      <w:r w:rsidRPr="00922A86">
        <w:rPr>
          <w:i/>
          <w:szCs w:val="24"/>
        </w:rPr>
        <w:t>Loi sur le droit d</w:t>
      </w:r>
      <w:r w:rsidR="00951CA2">
        <w:rPr>
          <w:i/>
          <w:szCs w:val="24"/>
        </w:rPr>
        <w:t>’</w:t>
      </w:r>
      <w:r w:rsidRPr="00922A86">
        <w:rPr>
          <w:i/>
          <w:szCs w:val="24"/>
        </w:rPr>
        <w:t>auteur</w:t>
      </w:r>
      <w:r w:rsidRPr="00922A86">
        <w:rPr>
          <w:szCs w:val="24"/>
        </w:rPr>
        <w:t xml:space="preserve">, L.R.C. 1985, </w:t>
      </w:r>
      <w:r w:rsidR="0010710D" w:rsidRPr="00922A86">
        <w:rPr>
          <w:szCs w:val="24"/>
        </w:rPr>
        <w:t>ch. </w:t>
      </w:r>
      <w:r w:rsidRPr="00922A86">
        <w:rPr>
          <w:szCs w:val="24"/>
        </w:rPr>
        <w:t>C</w:t>
      </w:r>
      <w:r w:rsidR="00233314">
        <w:rPr>
          <w:szCs w:val="24"/>
        </w:rPr>
        <w:t>-</w:t>
      </w:r>
      <w:r w:rsidRPr="00922A86">
        <w:rPr>
          <w:szCs w:val="24"/>
        </w:rPr>
        <w:t>42</w:t>
      </w:r>
      <w:r w:rsidR="00450EC8" w:rsidRPr="00922A86">
        <w:rPr>
          <w:szCs w:val="24"/>
        </w:rPr>
        <w:t xml:space="preserve">, </w:t>
      </w:r>
      <w:r w:rsidR="0010710D" w:rsidRPr="00922A86">
        <w:rPr>
          <w:szCs w:val="24"/>
        </w:rPr>
        <w:t>art. </w:t>
      </w:r>
      <w:r w:rsidR="00450EC8" w:rsidRPr="00922A86">
        <w:rPr>
          <w:szCs w:val="24"/>
        </w:rPr>
        <w:t>2 « télécommunication »</w:t>
      </w:r>
      <w:r w:rsidR="00864609" w:rsidRPr="00922A86">
        <w:rPr>
          <w:szCs w:val="24"/>
        </w:rPr>
        <w:t xml:space="preserve">, </w:t>
      </w:r>
      <w:r w:rsidR="008176AD" w:rsidRPr="00922A86">
        <w:rPr>
          <w:szCs w:val="24"/>
        </w:rPr>
        <w:t>2.2(1)</w:t>
      </w:r>
      <w:r w:rsidR="00A969BB" w:rsidRPr="00922A86">
        <w:rPr>
          <w:szCs w:val="24"/>
        </w:rPr>
        <w:t xml:space="preserve"> « publication »</w:t>
      </w:r>
      <w:r w:rsidR="008176AD" w:rsidRPr="00922A86">
        <w:rPr>
          <w:szCs w:val="24"/>
        </w:rPr>
        <w:t xml:space="preserve">, </w:t>
      </w:r>
      <w:r w:rsidR="00864609" w:rsidRPr="00922A86">
        <w:rPr>
          <w:szCs w:val="24"/>
        </w:rPr>
        <w:t>2.4(1)</w:t>
      </w:r>
      <w:r w:rsidR="00864609" w:rsidRPr="00922A86">
        <w:rPr>
          <w:i/>
          <w:szCs w:val="24"/>
        </w:rPr>
        <w:t>c</w:t>
      </w:r>
      <w:r w:rsidR="00864609" w:rsidRPr="00922A86">
        <w:rPr>
          <w:szCs w:val="24"/>
        </w:rPr>
        <w:t>)</w:t>
      </w:r>
      <w:r w:rsidR="00450EC8" w:rsidRPr="00922A86">
        <w:rPr>
          <w:szCs w:val="24"/>
        </w:rPr>
        <w:t>, 3(1)</w:t>
      </w:r>
      <w:r w:rsidR="00220E17" w:rsidRPr="00220E17">
        <w:rPr>
          <w:i/>
          <w:szCs w:val="24"/>
        </w:rPr>
        <w:t>f</w:t>
      </w:r>
      <w:r w:rsidR="00220E17">
        <w:rPr>
          <w:szCs w:val="24"/>
        </w:rPr>
        <w:t>)</w:t>
      </w:r>
      <w:r w:rsidR="008176AD" w:rsidRPr="00922A86">
        <w:rPr>
          <w:szCs w:val="24"/>
        </w:rPr>
        <w:t xml:space="preserve">, </w:t>
      </w:r>
      <w:r w:rsidR="00295CE7" w:rsidRPr="00922A86">
        <w:rPr>
          <w:szCs w:val="24"/>
        </w:rPr>
        <w:t xml:space="preserve">15(1), </w:t>
      </w:r>
      <w:r w:rsidR="008176AD" w:rsidRPr="00922A86">
        <w:rPr>
          <w:szCs w:val="24"/>
        </w:rPr>
        <w:t>27(2)</w:t>
      </w:r>
      <w:r w:rsidR="00C12204" w:rsidRPr="00922A86">
        <w:rPr>
          <w:szCs w:val="24"/>
        </w:rPr>
        <w:t>, 29.4(2)</w:t>
      </w:r>
      <w:r w:rsidR="00F17D43" w:rsidRPr="00922A86">
        <w:rPr>
          <w:szCs w:val="24"/>
        </w:rPr>
        <w:t xml:space="preserve">, </w:t>
      </w:r>
      <w:r w:rsidR="00FE775D" w:rsidRPr="00922A86">
        <w:rPr>
          <w:szCs w:val="24"/>
        </w:rPr>
        <w:t xml:space="preserve">30.8(1), </w:t>
      </w:r>
      <w:r w:rsidR="00F17D43" w:rsidRPr="00922A86">
        <w:rPr>
          <w:szCs w:val="24"/>
          <w:lang w:bidi="en-US"/>
        </w:rPr>
        <w:t>67 à 68.2</w:t>
      </w:r>
      <w:r w:rsidR="00450EC8" w:rsidRPr="00922A86">
        <w:rPr>
          <w:szCs w:val="24"/>
        </w:rPr>
        <w:t>.</w:t>
      </w:r>
    </w:p>
    <w:p w:rsidR="009D57DC" w:rsidRPr="00922A86" w:rsidRDefault="009D57DC" w:rsidP="0010710D">
      <w:pPr>
        <w:pStyle w:val="SCCNormalDoubleSpacing"/>
        <w:spacing w:after="720" w:line="240" w:lineRule="auto"/>
        <w:ind w:left="539" w:hanging="539"/>
        <w:rPr>
          <w:szCs w:val="24"/>
        </w:rPr>
      </w:pPr>
      <w:r w:rsidRPr="00922A86">
        <w:rPr>
          <w:i/>
          <w:szCs w:val="24"/>
        </w:rPr>
        <w:t>Projet de tarifs des redevances à percevoir par la SOCAN pour l</w:t>
      </w:r>
      <w:r w:rsidR="00951CA2">
        <w:rPr>
          <w:i/>
          <w:szCs w:val="24"/>
        </w:rPr>
        <w:t>’</w:t>
      </w:r>
      <w:r w:rsidRPr="00922A86">
        <w:rPr>
          <w:i/>
          <w:szCs w:val="24"/>
        </w:rPr>
        <w:t>exécution en public ou la communication au public par télécommunication, au Canada, d</w:t>
      </w:r>
      <w:r w:rsidR="00951CA2">
        <w:rPr>
          <w:i/>
          <w:szCs w:val="24"/>
        </w:rPr>
        <w:t>’</w:t>
      </w:r>
      <w:r w:rsidRPr="00922A86">
        <w:rPr>
          <w:i/>
          <w:szCs w:val="24"/>
        </w:rPr>
        <w:t xml:space="preserve">œuvres musicales ou </w:t>
      </w:r>
      <w:proofErr w:type="spellStart"/>
      <w:r w:rsidRPr="00922A86">
        <w:rPr>
          <w:i/>
          <w:szCs w:val="24"/>
        </w:rPr>
        <w:t>dramatico</w:t>
      </w:r>
      <w:proofErr w:type="spellEnd"/>
      <w:r w:rsidR="002F38C1">
        <w:rPr>
          <w:i/>
          <w:szCs w:val="24"/>
        </w:rPr>
        <w:t>-</w:t>
      </w:r>
      <w:r w:rsidRPr="00922A86">
        <w:rPr>
          <w:i/>
          <w:szCs w:val="24"/>
        </w:rPr>
        <w:t>musicales</w:t>
      </w:r>
      <w:r w:rsidRPr="00922A86">
        <w:rPr>
          <w:szCs w:val="24"/>
        </w:rPr>
        <w:t>, (2005) 139 Gaz. Can. I (suppl.).</w:t>
      </w:r>
    </w:p>
    <w:p w:rsidR="00FE35C1" w:rsidRPr="00922A86" w:rsidRDefault="00FE35C1" w:rsidP="00EF5A32">
      <w:pPr>
        <w:pStyle w:val="SCCNormalDoubleSpacing"/>
        <w:keepNext/>
        <w:spacing w:after="480"/>
        <w:rPr>
          <w:b/>
          <w:szCs w:val="24"/>
        </w:rPr>
      </w:pPr>
      <w:r w:rsidRPr="00922A86">
        <w:rPr>
          <w:b/>
          <w:szCs w:val="24"/>
        </w:rPr>
        <w:lastRenderedPageBreak/>
        <w:t>Traités et autres in</w:t>
      </w:r>
      <w:r w:rsidR="008206E7" w:rsidRPr="00922A86">
        <w:rPr>
          <w:b/>
          <w:szCs w:val="24"/>
        </w:rPr>
        <w:t>s</w:t>
      </w:r>
      <w:r w:rsidRPr="00922A86">
        <w:rPr>
          <w:b/>
          <w:szCs w:val="24"/>
        </w:rPr>
        <w:t>truments internationaux</w:t>
      </w:r>
    </w:p>
    <w:p w:rsidR="003C5390" w:rsidRDefault="003C5390" w:rsidP="0010710D">
      <w:pPr>
        <w:pStyle w:val="SCCNormalDoubleSpacing"/>
        <w:spacing w:after="240" w:line="240" w:lineRule="auto"/>
        <w:ind w:left="539" w:hanging="539"/>
        <w:rPr>
          <w:szCs w:val="24"/>
        </w:rPr>
      </w:pPr>
      <w:r w:rsidRPr="00922A86">
        <w:rPr>
          <w:i/>
          <w:szCs w:val="24"/>
        </w:rPr>
        <w:t>Accord de libre</w:t>
      </w:r>
      <w:r w:rsidR="00233314">
        <w:rPr>
          <w:i/>
          <w:szCs w:val="24"/>
        </w:rPr>
        <w:t>-</w:t>
      </w:r>
      <w:r w:rsidRPr="00922A86">
        <w:rPr>
          <w:i/>
          <w:szCs w:val="24"/>
        </w:rPr>
        <w:t>échange entre le Canada et les États</w:t>
      </w:r>
      <w:r w:rsidR="00233314">
        <w:rPr>
          <w:i/>
          <w:szCs w:val="24"/>
        </w:rPr>
        <w:t>-</w:t>
      </w:r>
      <w:r w:rsidRPr="00922A86">
        <w:rPr>
          <w:i/>
          <w:szCs w:val="24"/>
        </w:rPr>
        <w:t>Unis</w:t>
      </w:r>
      <w:r w:rsidRPr="00922A86">
        <w:rPr>
          <w:szCs w:val="24"/>
        </w:rPr>
        <w:t xml:space="preserve">, 1987, </w:t>
      </w:r>
      <w:r w:rsidR="0010710D" w:rsidRPr="00922A86">
        <w:rPr>
          <w:szCs w:val="24"/>
        </w:rPr>
        <w:t>art. </w:t>
      </w:r>
      <w:r w:rsidRPr="00922A86">
        <w:rPr>
          <w:szCs w:val="24"/>
        </w:rPr>
        <w:t>2005, 2006.</w:t>
      </w:r>
    </w:p>
    <w:p w:rsidR="00842C2C" w:rsidRPr="00922A86" w:rsidRDefault="00842C2C" w:rsidP="00842C2C">
      <w:pPr>
        <w:pStyle w:val="SCCNormalDoubleSpacing"/>
        <w:spacing w:after="240" w:line="240" w:lineRule="auto"/>
        <w:ind w:left="539" w:hanging="539"/>
        <w:rPr>
          <w:szCs w:val="24"/>
        </w:rPr>
      </w:pPr>
      <w:r w:rsidRPr="00922A86">
        <w:rPr>
          <w:i/>
          <w:szCs w:val="24"/>
        </w:rPr>
        <w:t>Accord de libre</w:t>
      </w:r>
      <w:r>
        <w:rPr>
          <w:rFonts w:eastAsia="MS Mincho" w:hAnsi="MS Mincho"/>
          <w:i/>
          <w:szCs w:val="24"/>
        </w:rPr>
        <w:t>-</w:t>
      </w:r>
      <w:r w:rsidRPr="00922A86">
        <w:rPr>
          <w:i/>
          <w:szCs w:val="24"/>
        </w:rPr>
        <w:t>échange nord</w:t>
      </w:r>
      <w:r>
        <w:rPr>
          <w:rFonts w:eastAsia="MS Mincho" w:hAnsi="MS Mincho"/>
          <w:i/>
          <w:szCs w:val="24"/>
        </w:rPr>
        <w:t>-</w:t>
      </w:r>
      <w:r w:rsidRPr="00922A86">
        <w:rPr>
          <w:i/>
          <w:szCs w:val="24"/>
        </w:rPr>
        <w:t>américain entre le gouvernement du Canada, le gouvernement des États</w:t>
      </w:r>
      <w:r>
        <w:rPr>
          <w:i/>
          <w:szCs w:val="24"/>
        </w:rPr>
        <w:t>-</w:t>
      </w:r>
      <w:r w:rsidRPr="00922A86">
        <w:rPr>
          <w:i/>
          <w:szCs w:val="24"/>
        </w:rPr>
        <w:t>Unis d</w:t>
      </w:r>
      <w:r>
        <w:rPr>
          <w:i/>
          <w:szCs w:val="24"/>
        </w:rPr>
        <w:t>’</w:t>
      </w:r>
      <w:r w:rsidRPr="00922A86">
        <w:rPr>
          <w:i/>
          <w:szCs w:val="24"/>
        </w:rPr>
        <w:t>Amérique et le gouvernement des États</w:t>
      </w:r>
      <w:r>
        <w:rPr>
          <w:rFonts w:eastAsia="MS Mincho" w:hAnsi="MS Mincho"/>
          <w:i/>
          <w:szCs w:val="24"/>
        </w:rPr>
        <w:t>-</w:t>
      </w:r>
      <w:r w:rsidRPr="00922A86">
        <w:rPr>
          <w:i/>
          <w:szCs w:val="24"/>
        </w:rPr>
        <w:t>Unis du Mexique</w:t>
      </w:r>
      <w:r w:rsidRPr="00922A86">
        <w:rPr>
          <w:szCs w:val="24"/>
        </w:rPr>
        <w:t xml:space="preserve">, R.T. Can. 1994 </w:t>
      </w:r>
      <w:proofErr w:type="gramStart"/>
      <w:r w:rsidRPr="00922A86">
        <w:rPr>
          <w:szCs w:val="24"/>
        </w:rPr>
        <w:t>n</w:t>
      </w:r>
      <w:r w:rsidRPr="00922A86">
        <w:rPr>
          <w:szCs w:val="24"/>
          <w:vertAlign w:val="superscript"/>
        </w:rPr>
        <w:t>o</w:t>
      </w:r>
      <w:proofErr w:type="gramEnd"/>
      <w:r w:rsidRPr="00922A86">
        <w:rPr>
          <w:szCs w:val="24"/>
        </w:rPr>
        <w:t> 2.</w:t>
      </w:r>
    </w:p>
    <w:p w:rsidR="00842C2C" w:rsidRPr="00922A86" w:rsidRDefault="00842C2C" w:rsidP="0010710D">
      <w:pPr>
        <w:pStyle w:val="SCCNormalDoubleSpacing"/>
        <w:spacing w:after="240" w:line="240" w:lineRule="auto"/>
        <w:ind w:left="539" w:hanging="539"/>
        <w:rPr>
          <w:szCs w:val="24"/>
        </w:rPr>
      </w:pPr>
    </w:p>
    <w:p w:rsidR="00FE35C1" w:rsidRPr="00922A86" w:rsidRDefault="00FE35C1" w:rsidP="00EF5A32">
      <w:pPr>
        <w:pStyle w:val="SCCNormalDoubleSpacing"/>
        <w:spacing w:after="720" w:line="240" w:lineRule="auto"/>
        <w:ind w:left="539" w:hanging="539"/>
        <w:rPr>
          <w:szCs w:val="24"/>
        </w:rPr>
      </w:pPr>
      <w:r w:rsidRPr="00922A86">
        <w:rPr>
          <w:i/>
          <w:szCs w:val="24"/>
        </w:rPr>
        <w:t>Convention de Berne pour la protection des œuvres littéraires et artistiques</w:t>
      </w:r>
      <w:r w:rsidRPr="00922A86">
        <w:rPr>
          <w:szCs w:val="24"/>
        </w:rPr>
        <w:t xml:space="preserve">, 828 R.T.N.U. 221, </w:t>
      </w:r>
      <w:r w:rsidR="000F1242" w:rsidRPr="00922A86">
        <w:rPr>
          <w:szCs w:val="24"/>
        </w:rPr>
        <w:t>9 septembre</w:t>
      </w:r>
      <w:r w:rsidR="000F1242" w:rsidRPr="00922A86">
        <w:rPr>
          <w:szCs w:val="24"/>
          <w:lang w:eastAsia="en-US"/>
        </w:rPr>
        <w:t xml:space="preserve"> 1886; </w:t>
      </w:r>
      <w:proofErr w:type="spellStart"/>
      <w:r w:rsidR="000F1242" w:rsidRPr="00922A86">
        <w:rPr>
          <w:szCs w:val="24"/>
          <w:lang w:eastAsia="en-US"/>
        </w:rPr>
        <w:t>rev</w:t>
      </w:r>
      <w:proofErr w:type="spellEnd"/>
      <w:r w:rsidR="00A24546" w:rsidRPr="00922A86">
        <w:rPr>
          <w:szCs w:val="24"/>
          <w:lang w:eastAsia="en-US"/>
        </w:rPr>
        <w:t>.</w:t>
      </w:r>
      <w:r w:rsidR="000F1242" w:rsidRPr="00922A86">
        <w:rPr>
          <w:szCs w:val="24"/>
          <w:lang w:eastAsia="en-US"/>
        </w:rPr>
        <w:t xml:space="preserve"> </w:t>
      </w:r>
      <w:proofErr w:type="gramStart"/>
      <w:r w:rsidR="000F1242" w:rsidRPr="00922A86">
        <w:rPr>
          <w:szCs w:val="24"/>
          <w:lang w:eastAsia="en-US"/>
        </w:rPr>
        <w:t>à</w:t>
      </w:r>
      <w:proofErr w:type="gramEnd"/>
      <w:r w:rsidR="000F1242" w:rsidRPr="00922A86">
        <w:rPr>
          <w:szCs w:val="24"/>
          <w:lang w:eastAsia="en-US"/>
        </w:rPr>
        <w:t xml:space="preserve"> Berlin le 13 novembre 1908, art. 11, 13, 14; </w:t>
      </w:r>
      <w:proofErr w:type="spellStart"/>
      <w:r w:rsidR="000F1242" w:rsidRPr="00922A86">
        <w:rPr>
          <w:szCs w:val="24"/>
          <w:lang w:eastAsia="en-US"/>
        </w:rPr>
        <w:t>rev</w:t>
      </w:r>
      <w:proofErr w:type="spellEnd"/>
      <w:r w:rsidR="00A24546" w:rsidRPr="00922A86">
        <w:rPr>
          <w:szCs w:val="24"/>
          <w:lang w:eastAsia="en-US"/>
        </w:rPr>
        <w:t>.</w:t>
      </w:r>
      <w:r w:rsidR="000F1242" w:rsidRPr="00922A86">
        <w:rPr>
          <w:szCs w:val="24"/>
          <w:lang w:eastAsia="en-US"/>
        </w:rPr>
        <w:t xml:space="preserve"> </w:t>
      </w:r>
      <w:proofErr w:type="gramStart"/>
      <w:r w:rsidR="000F1242" w:rsidRPr="00922A86">
        <w:rPr>
          <w:szCs w:val="24"/>
          <w:lang w:eastAsia="en-US"/>
        </w:rPr>
        <w:t>à</w:t>
      </w:r>
      <w:proofErr w:type="gramEnd"/>
      <w:r w:rsidR="000F1242" w:rsidRPr="00922A86">
        <w:rPr>
          <w:szCs w:val="24"/>
          <w:lang w:eastAsia="en-US"/>
        </w:rPr>
        <w:t xml:space="preserve"> Rome le 2 juin 1928, </w:t>
      </w:r>
      <w:r w:rsidR="0010710D" w:rsidRPr="00922A86">
        <w:rPr>
          <w:szCs w:val="24"/>
        </w:rPr>
        <w:t>art. </w:t>
      </w:r>
      <w:r w:rsidRPr="00922A86">
        <w:rPr>
          <w:szCs w:val="24"/>
        </w:rPr>
        <w:t>11</w:t>
      </w:r>
      <w:r w:rsidRPr="00922A86">
        <w:rPr>
          <w:i/>
          <w:szCs w:val="24"/>
        </w:rPr>
        <w:t>bis</w:t>
      </w:r>
      <w:r w:rsidRPr="00922A86">
        <w:rPr>
          <w:szCs w:val="24"/>
        </w:rPr>
        <w:t>.</w:t>
      </w:r>
    </w:p>
    <w:p w:rsidR="002E6705" w:rsidRPr="00922A86" w:rsidRDefault="0043088E" w:rsidP="00EF5A32">
      <w:pPr>
        <w:pStyle w:val="SCCNormalDoubleSpacing"/>
        <w:keepNext/>
        <w:spacing w:after="480"/>
        <w:rPr>
          <w:b/>
          <w:szCs w:val="24"/>
        </w:rPr>
      </w:pPr>
      <w:r w:rsidRPr="00922A86">
        <w:rPr>
          <w:b/>
          <w:szCs w:val="24"/>
        </w:rPr>
        <w:t>Doctrine</w:t>
      </w:r>
      <w:r w:rsidR="002E6705" w:rsidRPr="00922A86">
        <w:rPr>
          <w:b/>
          <w:szCs w:val="24"/>
        </w:rPr>
        <w:t xml:space="preserve"> </w:t>
      </w:r>
      <w:r w:rsidR="00030166" w:rsidRPr="00922A86">
        <w:rPr>
          <w:b/>
          <w:szCs w:val="24"/>
        </w:rPr>
        <w:t>et autres documents cités</w:t>
      </w:r>
    </w:p>
    <w:p w:rsidR="00B55790" w:rsidRPr="00922A86" w:rsidRDefault="00B55790" w:rsidP="00834A03">
      <w:pPr>
        <w:pStyle w:val="SCCNormalDoubleSpacing"/>
        <w:spacing w:after="240" w:line="240" w:lineRule="auto"/>
        <w:ind w:left="539" w:hanging="539"/>
        <w:rPr>
          <w:szCs w:val="24"/>
        </w:rPr>
      </w:pPr>
      <w:r w:rsidRPr="00922A86">
        <w:rPr>
          <w:szCs w:val="24"/>
        </w:rPr>
        <w:t xml:space="preserve">Canada.  </w:t>
      </w:r>
      <w:r w:rsidRPr="00922A86">
        <w:rPr>
          <w:i/>
          <w:szCs w:val="24"/>
        </w:rPr>
        <w:t>Accord de libre</w:t>
      </w:r>
      <w:r w:rsidR="002F38C1">
        <w:rPr>
          <w:i/>
          <w:szCs w:val="24"/>
        </w:rPr>
        <w:t>-</w:t>
      </w:r>
      <w:r w:rsidRPr="00922A86">
        <w:rPr>
          <w:i/>
          <w:szCs w:val="24"/>
        </w:rPr>
        <w:t>échange entre le Canada et les États</w:t>
      </w:r>
      <w:r w:rsidR="002F38C1">
        <w:rPr>
          <w:i/>
          <w:szCs w:val="24"/>
        </w:rPr>
        <w:t>-</w:t>
      </w:r>
      <w:r w:rsidRPr="00922A86">
        <w:rPr>
          <w:i/>
          <w:szCs w:val="24"/>
        </w:rPr>
        <w:t>Unis</w:t>
      </w:r>
      <w:r w:rsidRPr="00922A86">
        <w:rPr>
          <w:szCs w:val="24"/>
        </w:rPr>
        <w:t>.  Ottawa</w:t>
      </w:r>
      <w:r w:rsidR="0010710D" w:rsidRPr="00922A86">
        <w:rPr>
          <w:szCs w:val="24"/>
        </w:rPr>
        <w:t> :</w:t>
      </w:r>
      <w:r w:rsidRPr="00922A86">
        <w:rPr>
          <w:szCs w:val="24"/>
        </w:rPr>
        <w:t xml:space="preserve"> Affaires extérieures, 1987.</w:t>
      </w:r>
    </w:p>
    <w:p w:rsidR="005C4DB5" w:rsidRPr="00922A86" w:rsidRDefault="005C4DB5" w:rsidP="005C4DB5">
      <w:pPr>
        <w:pStyle w:val="SCCNormalDoubleSpacing"/>
        <w:spacing w:after="240" w:line="240" w:lineRule="auto"/>
        <w:ind w:left="539" w:hanging="539"/>
        <w:rPr>
          <w:szCs w:val="24"/>
        </w:rPr>
      </w:pPr>
      <w:r w:rsidRPr="00922A86">
        <w:rPr>
          <w:szCs w:val="24"/>
        </w:rPr>
        <w:t xml:space="preserve">Canada.  Chambre des communes.  </w:t>
      </w:r>
      <w:r w:rsidRPr="00922A86">
        <w:rPr>
          <w:i/>
          <w:szCs w:val="24"/>
        </w:rPr>
        <w:t>Débats de la Chambre des communes</w:t>
      </w:r>
      <w:r w:rsidR="00690CB6">
        <w:rPr>
          <w:szCs w:val="24"/>
        </w:rPr>
        <w:t>, vol</w:t>
      </w:r>
      <w:r w:rsidR="00CA2DE7">
        <w:rPr>
          <w:szCs w:val="24"/>
        </w:rPr>
        <w:t>. </w:t>
      </w:r>
      <w:r w:rsidRPr="00922A86">
        <w:rPr>
          <w:szCs w:val="24"/>
        </w:rPr>
        <w:t>1, 2</w:t>
      </w:r>
      <w:r w:rsidRPr="00922A86">
        <w:rPr>
          <w:szCs w:val="24"/>
          <w:vertAlign w:val="superscript"/>
        </w:rPr>
        <w:t>e</w:t>
      </w:r>
      <w:r w:rsidR="00CA2DE7">
        <w:rPr>
          <w:szCs w:val="24"/>
        </w:rPr>
        <w:t> </w:t>
      </w:r>
      <w:proofErr w:type="spellStart"/>
      <w:proofErr w:type="gramStart"/>
      <w:r w:rsidRPr="00922A86">
        <w:rPr>
          <w:szCs w:val="24"/>
        </w:rPr>
        <w:t>sess</w:t>
      </w:r>
      <w:proofErr w:type="spellEnd"/>
      <w:r w:rsidRPr="00922A86">
        <w:rPr>
          <w:szCs w:val="24"/>
        </w:rPr>
        <w:t>.,</w:t>
      </w:r>
      <w:proofErr w:type="gramEnd"/>
      <w:r w:rsidRPr="00922A86">
        <w:rPr>
          <w:szCs w:val="24"/>
        </w:rPr>
        <w:t xml:space="preserve"> 17</w:t>
      </w:r>
      <w:r w:rsidRPr="00922A86">
        <w:rPr>
          <w:szCs w:val="24"/>
          <w:vertAlign w:val="superscript"/>
        </w:rPr>
        <w:t>e</w:t>
      </w:r>
      <w:r w:rsidRPr="00922A86">
        <w:rPr>
          <w:szCs w:val="24"/>
        </w:rPr>
        <w:t xml:space="preserve"> </w:t>
      </w:r>
      <w:proofErr w:type="spellStart"/>
      <w:r w:rsidRPr="00922A86">
        <w:rPr>
          <w:szCs w:val="24"/>
        </w:rPr>
        <w:t>lég</w:t>
      </w:r>
      <w:proofErr w:type="spellEnd"/>
      <w:r w:rsidRPr="00922A86">
        <w:rPr>
          <w:szCs w:val="24"/>
        </w:rPr>
        <w:t xml:space="preserve">., </w:t>
      </w:r>
      <w:r w:rsidR="00EF5A32">
        <w:rPr>
          <w:szCs w:val="24"/>
        </w:rPr>
        <w:t>23 </w:t>
      </w:r>
      <w:r w:rsidRPr="00922A86">
        <w:rPr>
          <w:szCs w:val="24"/>
        </w:rPr>
        <w:t>avril 1931, p. 89</w:t>
      </w:r>
      <w:r w:rsidR="00CA2DE7">
        <w:rPr>
          <w:szCs w:val="24"/>
        </w:rPr>
        <w:t>2</w:t>
      </w:r>
      <w:r w:rsidR="002F38C1">
        <w:rPr>
          <w:szCs w:val="24"/>
        </w:rPr>
        <w:t>-</w:t>
      </w:r>
      <w:r w:rsidR="00CA2DE7">
        <w:rPr>
          <w:szCs w:val="24"/>
        </w:rPr>
        <w:t>893</w:t>
      </w:r>
      <w:r w:rsidRPr="00922A86">
        <w:rPr>
          <w:szCs w:val="24"/>
        </w:rPr>
        <w:t>.</w:t>
      </w:r>
    </w:p>
    <w:p w:rsidR="005C4DB5" w:rsidRPr="00922A86" w:rsidRDefault="006B58D3" w:rsidP="00834A03">
      <w:pPr>
        <w:pStyle w:val="SCCNormalDoubleSpacing"/>
        <w:spacing w:after="240" w:line="240" w:lineRule="auto"/>
        <w:ind w:left="539" w:hanging="539"/>
        <w:rPr>
          <w:szCs w:val="24"/>
        </w:rPr>
      </w:pPr>
      <w:r w:rsidRPr="00922A86">
        <w:rPr>
          <w:szCs w:val="24"/>
        </w:rPr>
        <w:t xml:space="preserve">Canada.  Chambre des communes.  </w:t>
      </w:r>
      <w:r w:rsidR="004861D6" w:rsidRPr="00922A86">
        <w:rPr>
          <w:i/>
          <w:szCs w:val="24"/>
        </w:rPr>
        <w:t>Débats de la Chambre des communes</w:t>
      </w:r>
      <w:r w:rsidRPr="00922A86">
        <w:rPr>
          <w:szCs w:val="24"/>
        </w:rPr>
        <w:t xml:space="preserve">, </w:t>
      </w:r>
      <w:r w:rsidR="00690CB6">
        <w:rPr>
          <w:szCs w:val="24"/>
        </w:rPr>
        <w:t>vol</w:t>
      </w:r>
      <w:r w:rsidR="00CA2DE7">
        <w:rPr>
          <w:szCs w:val="24"/>
        </w:rPr>
        <w:t>. </w:t>
      </w:r>
      <w:r w:rsidRPr="00922A86">
        <w:rPr>
          <w:szCs w:val="24"/>
        </w:rPr>
        <w:t>3, 2</w:t>
      </w:r>
      <w:r w:rsidR="004861D6" w:rsidRPr="00922A86">
        <w:rPr>
          <w:szCs w:val="24"/>
          <w:vertAlign w:val="superscript"/>
        </w:rPr>
        <w:t>e</w:t>
      </w:r>
      <w:r w:rsidR="00CA2DE7">
        <w:rPr>
          <w:szCs w:val="24"/>
        </w:rPr>
        <w:t> </w:t>
      </w:r>
      <w:proofErr w:type="spellStart"/>
      <w:proofErr w:type="gramStart"/>
      <w:r w:rsidR="004861D6" w:rsidRPr="00922A86">
        <w:rPr>
          <w:szCs w:val="24"/>
        </w:rPr>
        <w:t>s</w:t>
      </w:r>
      <w:r w:rsidRPr="00922A86">
        <w:rPr>
          <w:szCs w:val="24"/>
        </w:rPr>
        <w:t>ess</w:t>
      </w:r>
      <w:proofErr w:type="spellEnd"/>
      <w:r w:rsidRPr="00922A86">
        <w:rPr>
          <w:szCs w:val="24"/>
        </w:rPr>
        <w:t>.,</w:t>
      </w:r>
      <w:proofErr w:type="gramEnd"/>
      <w:r w:rsidRPr="00922A86">
        <w:rPr>
          <w:szCs w:val="24"/>
        </w:rPr>
        <w:t xml:space="preserve"> 17</w:t>
      </w:r>
      <w:r w:rsidR="004861D6" w:rsidRPr="00922A86">
        <w:rPr>
          <w:szCs w:val="24"/>
          <w:vertAlign w:val="superscript"/>
        </w:rPr>
        <w:t>e</w:t>
      </w:r>
      <w:r w:rsidRPr="00922A86">
        <w:rPr>
          <w:szCs w:val="24"/>
        </w:rPr>
        <w:t xml:space="preserve"> </w:t>
      </w:r>
      <w:proofErr w:type="spellStart"/>
      <w:r w:rsidR="004861D6" w:rsidRPr="00922A86">
        <w:rPr>
          <w:szCs w:val="24"/>
        </w:rPr>
        <w:t>lég</w:t>
      </w:r>
      <w:proofErr w:type="spellEnd"/>
      <w:r w:rsidRPr="00922A86">
        <w:rPr>
          <w:szCs w:val="24"/>
        </w:rPr>
        <w:t xml:space="preserve">., </w:t>
      </w:r>
      <w:r w:rsidR="00EF5A32">
        <w:rPr>
          <w:szCs w:val="24"/>
        </w:rPr>
        <w:t>8 </w:t>
      </w:r>
      <w:r w:rsidR="004861D6" w:rsidRPr="00922A86">
        <w:rPr>
          <w:szCs w:val="24"/>
        </w:rPr>
        <w:t>juin</w:t>
      </w:r>
      <w:r w:rsidRPr="00922A86">
        <w:rPr>
          <w:szCs w:val="24"/>
        </w:rPr>
        <w:t xml:space="preserve"> 1931, </w:t>
      </w:r>
      <w:r w:rsidR="0010710D" w:rsidRPr="00922A86">
        <w:rPr>
          <w:szCs w:val="24"/>
        </w:rPr>
        <w:t>p. </w:t>
      </w:r>
      <w:r w:rsidRPr="00922A86">
        <w:rPr>
          <w:szCs w:val="24"/>
        </w:rPr>
        <w:t>23</w:t>
      </w:r>
      <w:r w:rsidR="00CF258E" w:rsidRPr="00922A86">
        <w:rPr>
          <w:szCs w:val="24"/>
        </w:rPr>
        <w:t>73</w:t>
      </w:r>
      <w:r w:rsidR="002F38C1">
        <w:rPr>
          <w:szCs w:val="24"/>
        </w:rPr>
        <w:t>-</w:t>
      </w:r>
      <w:r w:rsidR="00CF258E" w:rsidRPr="00922A86">
        <w:rPr>
          <w:szCs w:val="24"/>
        </w:rPr>
        <w:t>2374</w:t>
      </w:r>
      <w:r w:rsidRPr="00922A86">
        <w:rPr>
          <w:szCs w:val="24"/>
        </w:rPr>
        <w:t>.</w:t>
      </w:r>
    </w:p>
    <w:p w:rsidR="00023534" w:rsidRPr="00922A86" w:rsidRDefault="00023534" w:rsidP="00834A03">
      <w:pPr>
        <w:pStyle w:val="SCCNormalDoubleSpacing"/>
        <w:spacing w:after="240" w:line="240" w:lineRule="auto"/>
        <w:ind w:left="539" w:hanging="539"/>
        <w:rPr>
          <w:szCs w:val="24"/>
          <w:lang w:val="en-US"/>
        </w:rPr>
      </w:pPr>
      <w:r w:rsidRPr="00922A86">
        <w:rPr>
          <w:szCs w:val="24"/>
          <w:lang w:val="en-US"/>
        </w:rPr>
        <w:t xml:space="preserve">Craig, </w:t>
      </w:r>
      <w:proofErr w:type="spellStart"/>
      <w:r w:rsidRPr="00922A86">
        <w:rPr>
          <w:szCs w:val="24"/>
          <w:lang w:val="en-US"/>
        </w:rPr>
        <w:t>Carys</w:t>
      </w:r>
      <w:proofErr w:type="spellEnd"/>
      <w:r w:rsidRPr="00922A86">
        <w:rPr>
          <w:szCs w:val="24"/>
          <w:lang w:val="en-US"/>
        </w:rPr>
        <w:t xml:space="preserve">.  « Locking Out Lawful </w:t>
      </w:r>
      <w:proofErr w:type="gramStart"/>
      <w:r w:rsidRPr="00922A86">
        <w:rPr>
          <w:szCs w:val="24"/>
          <w:lang w:val="en-US"/>
        </w:rPr>
        <w:t>Users</w:t>
      </w:r>
      <w:r w:rsidR="0010710D" w:rsidRPr="00922A86">
        <w:rPr>
          <w:szCs w:val="24"/>
          <w:lang w:val="en-US"/>
        </w:rPr>
        <w:t> :</w:t>
      </w:r>
      <w:proofErr w:type="gramEnd"/>
      <w:r w:rsidRPr="00922A86">
        <w:rPr>
          <w:szCs w:val="24"/>
          <w:lang w:val="en-US"/>
        </w:rPr>
        <w:t xml:space="preserve"> Fair Dealing and Anti</w:t>
      </w:r>
      <w:r w:rsidR="002F38C1">
        <w:rPr>
          <w:szCs w:val="24"/>
          <w:lang w:val="en-US"/>
        </w:rPr>
        <w:t>-</w:t>
      </w:r>
      <w:r w:rsidRPr="00922A86">
        <w:rPr>
          <w:szCs w:val="24"/>
          <w:lang w:val="en-US"/>
        </w:rPr>
        <w:t>Circumvention in Bill C</w:t>
      </w:r>
      <w:r w:rsidR="002F38C1">
        <w:rPr>
          <w:szCs w:val="24"/>
          <w:lang w:val="en-US"/>
        </w:rPr>
        <w:t>-</w:t>
      </w:r>
      <w:r w:rsidRPr="00922A86">
        <w:rPr>
          <w:szCs w:val="24"/>
          <w:lang w:val="en-US"/>
        </w:rPr>
        <w:t xml:space="preserve">32 », in Michael </w:t>
      </w:r>
      <w:proofErr w:type="spellStart"/>
      <w:r w:rsidRPr="00922A86">
        <w:rPr>
          <w:szCs w:val="24"/>
          <w:lang w:val="en-US"/>
        </w:rPr>
        <w:t>Geist</w:t>
      </w:r>
      <w:proofErr w:type="spellEnd"/>
      <w:r w:rsidRPr="00922A86">
        <w:rPr>
          <w:szCs w:val="24"/>
          <w:lang w:val="en-US"/>
        </w:rPr>
        <w:t xml:space="preserve">, ed., </w:t>
      </w:r>
      <w:r w:rsidRPr="00922A86">
        <w:rPr>
          <w:i/>
          <w:szCs w:val="24"/>
          <w:lang w:val="en-US"/>
        </w:rPr>
        <w:t>From « Radical Extremism » to « Balanced Copyright »</w:t>
      </w:r>
      <w:r w:rsidR="0010710D" w:rsidRPr="00922A86">
        <w:rPr>
          <w:i/>
          <w:szCs w:val="24"/>
          <w:lang w:val="en-US"/>
        </w:rPr>
        <w:t> :</w:t>
      </w:r>
      <w:r w:rsidRPr="00922A86">
        <w:rPr>
          <w:i/>
          <w:szCs w:val="24"/>
          <w:lang w:val="en-US"/>
        </w:rPr>
        <w:t xml:space="preserve"> Canadian Copyright and the Digital Agenda</w:t>
      </w:r>
      <w:r w:rsidRPr="00922A86">
        <w:rPr>
          <w:szCs w:val="24"/>
          <w:lang w:val="en-US"/>
        </w:rPr>
        <w:t xml:space="preserve">.  </w:t>
      </w:r>
      <w:proofErr w:type="gramStart"/>
      <w:r w:rsidRPr="00922A86">
        <w:rPr>
          <w:szCs w:val="24"/>
          <w:lang w:val="en-US"/>
        </w:rPr>
        <w:t>Toronto</w:t>
      </w:r>
      <w:r w:rsidR="0010710D" w:rsidRPr="00922A86">
        <w:rPr>
          <w:szCs w:val="24"/>
          <w:lang w:val="en-US"/>
        </w:rPr>
        <w:t> :</w:t>
      </w:r>
      <w:proofErr w:type="gramEnd"/>
      <w:r w:rsidRPr="00922A86">
        <w:rPr>
          <w:szCs w:val="24"/>
          <w:lang w:val="en-US"/>
        </w:rPr>
        <w:t xml:space="preserve"> Irwin Law, 2010, 177.</w:t>
      </w:r>
    </w:p>
    <w:p w:rsidR="00FE35C1" w:rsidRPr="00220E17" w:rsidRDefault="00834A03" w:rsidP="00834A03">
      <w:pPr>
        <w:pStyle w:val="SCCNormalDoubleSpacing"/>
        <w:spacing w:after="240" w:line="240" w:lineRule="auto"/>
        <w:ind w:left="539" w:hanging="539"/>
        <w:rPr>
          <w:szCs w:val="24"/>
        </w:rPr>
      </w:pPr>
      <w:proofErr w:type="spellStart"/>
      <w:r w:rsidRPr="00922A86">
        <w:rPr>
          <w:szCs w:val="24"/>
          <w:lang w:val="en-US"/>
        </w:rPr>
        <w:t>Driedger</w:t>
      </w:r>
      <w:proofErr w:type="spellEnd"/>
      <w:r w:rsidRPr="00922A86">
        <w:rPr>
          <w:szCs w:val="24"/>
          <w:lang w:val="en-US"/>
        </w:rPr>
        <w:t>, Elmer </w:t>
      </w:r>
      <w:r w:rsidR="00450EC8" w:rsidRPr="00922A86">
        <w:rPr>
          <w:szCs w:val="24"/>
          <w:lang w:val="en-US"/>
        </w:rPr>
        <w:t xml:space="preserve">A.  </w:t>
      </w:r>
      <w:r w:rsidR="00450EC8" w:rsidRPr="00922A86">
        <w:rPr>
          <w:i/>
          <w:szCs w:val="24"/>
          <w:lang w:val="en-US"/>
        </w:rPr>
        <w:t>Construction of Statutes</w:t>
      </w:r>
      <w:r w:rsidR="00450EC8" w:rsidRPr="00922A86">
        <w:rPr>
          <w:szCs w:val="24"/>
          <w:lang w:val="en-US"/>
        </w:rPr>
        <w:t xml:space="preserve">, 2nd </w:t>
      </w:r>
      <w:proofErr w:type="gramStart"/>
      <w:r w:rsidR="00450EC8" w:rsidRPr="00922A86">
        <w:rPr>
          <w:szCs w:val="24"/>
          <w:lang w:val="en-US"/>
        </w:rPr>
        <w:t>ed</w:t>
      </w:r>
      <w:proofErr w:type="gramEnd"/>
      <w:r w:rsidR="00450EC8" w:rsidRPr="00922A86">
        <w:rPr>
          <w:szCs w:val="24"/>
          <w:lang w:val="en-US"/>
        </w:rPr>
        <w:t xml:space="preserve">.  </w:t>
      </w:r>
      <w:r w:rsidR="00450EC8" w:rsidRPr="00220E17">
        <w:rPr>
          <w:szCs w:val="24"/>
        </w:rPr>
        <w:t>Toronto</w:t>
      </w:r>
      <w:r w:rsidR="0010710D" w:rsidRPr="00220E17">
        <w:rPr>
          <w:szCs w:val="24"/>
        </w:rPr>
        <w:t> :</w:t>
      </w:r>
      <w:r w:rsidR="00450EC8" w:rsidRPr="00220E17">
        <w:rPr>
          <w:szCs w:val="24"/>
        </w:rPr>
        <w:t xml:space="preserve"> </w:t>
      </w:r>
      <w:proofErr w:type="spellStart"/>
      <w:r w:rsidR="00450EC8" w:rsidRPr="00220E17">
        <w:rPr>
          <w:szCs w:val="24"/>
        </w:rPr>
        <w:t>Butterworths</w:t>
      </w:r>
      <w:proofErr w:type="spellEnd"/>
      <w:r w:rsidR="00450EC8" w:rsidRPr="00220E17">
        <w:rPr>
          <w:szCs w:val="24"/>
        </w:rPr>
        <w:t>, 1983.</w:t>
      </w:r>
    </w:p>
    <w:p w:rsidR="00233314" w:rsidRPr="00922A86" w:rsidRDefault="00233314" w:rsidP="00233314">
      <w:pPr>
        <w:pStyle w:val="SCCNormalDoubleSpacing"/>
        <w:spacing w:after="240" w:line="240" w:lineRule="auto"/>
        <w:ind w:left="539" w:hanging="539"/>
        <w:rPr>
          <w:szCs w:val="24"/>
        </w:rPr>
      </w:pPr>
      <w:r>
        <w:rPr>
          <w:szCs w:val="24"/>
        </w:rPr>
        <w:t xml:space="preserve">Gervais, Daniel J., et </w:t>
      </w:r>
      <w:r w:rsidRPr="00922A86">
        <w:rPr>
          <w:szCs w:val="24"/>
        </w:rPr>
        <w:t>Elizabeth F.</w:t>
      </w:r>
      <w:r>
        <w:rPr>
          <w:szCs w:val="24"/>
        </w:rPr>
        <w:t xml:space="preserve"> Judge</w:t>
      </w:r>
      <w:r w:rsidRPr="00922A86">
        <w:rPr>
          <w:szCs w:val="24"/>
        </w:rPr>
        <w:t xml:space="preserve">, avec la collaboration de </w:t>
      </w:r>
      <w:proofErr w:type="spellStart"/>
      <w:r w:rsidRPr="00922A86">
        <w:rPr>
          <w:szCs w:val="24"/>
        </w:rPr>
        <w:t>Mistrale</w:t>
      </w:r>
      <w:proofErr w:type="spellEnd"/>
      <w:r>
        <w:rPr>
          <w:szCs w:val="24"/>
        </w:rPr>
        <w:t xml:space="preserve"> </w:t>
      </w:r>
      <w:proofErr w:type="spellStart"/>
      <w:r>
        <w:rPr>
          <w:szCs w:val="24"/>
        </w:rPr>
        <w:t>Go</w:t>
      </w:r>
      <w:r w:rsidRPr="00922A86">
        <w:rPr>
          <w:szCs w:val="24"/>
        </w:rPr>
        <w:t>udreau</w:t>
      </w:r>
      <w:proofErr w:type="spellEnd"/>
      <w:r w:rsidRPr="00922A86">
        <w:rPr>
          <w:szCs w:val="24"/>
        </w:rPr>
        <w:t xml:space="preserve">.  </w:t>
      </w:r>
      <w:r w:rsidRPr="00922A86">
        <w:rPr>
          <w:i/>
          <w:szCs w:val="24"/>
        </w:rPr>
        <w:t>Le droit de la propriété intellectuelle</w:t>
      </w:r>
      <w:r w:rsidRPr="00922A86">
        <w:rPr>
          <w:szCs w:val="24"/>
        </w:rPr>
        <w:t>.  Toronto : Thomson/</w:t>
      </w:r>
      <w:proofErr w:type="spellStart"/>
      <w:r w:rsidRPr="00922A86">
        <w:rPr>
          <w:szCs w:val="24"/>
        </w:rPr>
        <w:t>Carswell</w:t>
      </w:r>
      <w:proofErr w:type="spellEnd"/>
      <w:r w:rsidRPr="00922A86">
        <w:rPr>
          <w:szCs w:val="24"/>
        </w:rPr>
        <w:t>, 2006.</w:t>
      </w:r>
    </w:p>
    <w:p w:rsidR="00652782" w:rsidRPr="00922A86" w:rsidRDefault="00652782" w:rsidP="00834A03">
      <w:pPr>
        <w:pStyle w:val="SCCNormalDoubleSpacing"/>
        <w:spacing w:after="240" w:line="240" w:lineRule="auto"/>
        <w:ind w:left="539" w:hanging="539"/>
        <w:rPr>
          <w:szCs w:val="24"/>
          <w:lang w:val="en-US"/>
        </w:rPr>
      </w:pPr>
      <w:proofErr w:type="gramStart"/>
      <w:r w:rsidRPr="00A55182">
        <w:rPr>
          <w:szCs w:val="24"/>
          <w:lang w:val="en-US"/>
        </w:rPr>
        <w:t xml:space="preserve">Goldstein, Paul, and </w:t>
      </w:r>
      <w:r w:rsidR="0010710D" w:rsidRPr="00A55182">
        <w:rPr>
          <w:szCs w:val="24"/>
          <w:lang w:val="en-US"/>
        </w:rPr>
        <w:t>P. </w:t>
      </w:r>
      <w:proofErr w:type="spellStart"/>
      <w:r w:rsidRPr="00A55182">
        <w:rPr>
          <w:szCs w:val="24"/>
          <w:lang w:val="en-US"/>
        </w:rPr>
        <w:t>Bernt</w:t>
      </w:r>
      <w:proofErr w:type="spellEnd"/>
      <w:r w:rsidRPr="00A55182">
        <w:rPr>
          <w:szCs w:val="24"/>
          <w:lang w:val="en-US"/>
        </w:rPr>
        <w:t xml:space="preserve"> </w:t>
      </w:r>
      <w:proofErr w:type="spellStart"/>
      <w:r w:rsidRPr="00A55182">
        <w:rPr>
          <w:szCs w:val="24"/>
          <w:lang w:val="en-US"/>
        </w:rPr>
        <w:t>Hugenholtz</w:t>
      </w:r>
      <w:proofErr w:type="spellEnd"/>
      <w:r w:rsidRPr="00A55182">
        <w:rPr>
          <w:szCs w:val="24"/>
          <w:lang w:val="en-US"/>
        </w:rPr>
        <w:t>.</w:t>
      </w:r>
      <w:proofErr w:type="gramEnd"/>
      <w:r w:rsidRPr="00A55182">
        <w:rPr>
          <w:szCs w:val="24"/>
          <w:lang w:val="en-US"/>
        </w:rPr>
        <w:t xml:space="preserve">  </w:t>
      </w:r>
      <w:r w:rsidRPr="00922A86">
        <w:rPr>
          <w:i/>
          <w:szCs w:val="24"/>
          <w:lang w:val="en-US"/>
        </w:rPr>
        <w:t xml:space="preserve">International </w:t>
      </w:r>
      <w:proofErr w:type="gramStart"/>
      <w:r w:rsidRPr="00922A86">
        <w:rPr>
          <w:i/>
          <w:szCs w:val="24"/>
          <w:lang w:val="en-US"/>
        </w:rPr>
        <w:t>Copyright</w:t>
      </w:r>
      <w:r w:rsidR="0010710D" w:rsidRPr="00922A86">
        <w:rPr>
          <w:i/>
          <w:szCs w:val="24"/>
          <w:lang w:val="en-US"/>
        </w:rPr>
        <w:t> :</w:t>
      </w:r>
      <w:proofErr w:type="gramEnd"/>
      <w:r w:rsidRPr="00922A86">
        <w:rPr>
          <w:i/>
          <w:szCs w:val="24"/>
          <w:lang w:val="en-US"/>
        </w:rPr>
        <w:t xml:space="preserve"> Principles, Law</w:t>
      </w:r>
      <w:r w:rsidR="00BA2734" w:rsidRPr="00922A86">
        <w:rPr>
          <w:i/>
          <w:szCs w:val="24"/>
          <w:lang w:val="en-US"/>
        </w:rPr>
        <w:t>,</w:t>
      </w:r>
      <w:r w:rsidRPr="00922A86">
        <w:rPr>
          <w:i/>
          <w:szCs w:val="24"/>
          <w:lang w:val="en-US"/>
        </w:rPr>
        <w:t xml:space="preserve"> and Practice</w:t>
      </w:r>
      <w:r w:rsidRPr="00922A86">
        <w:rPr>
          <w:szCs w:val="24"/>
          <w:lang w:val="en-US"/>
        </w:rPr>
        <w:t xml:space="preserve">, 2nd ed.  New </w:t>
      </w:r>
      <w:proofErr w:type="gramStart"/>
      <w:r w:rsidRPr="00922A86">
        <w:rPr>
          <w:szCs w:val="24"/>
          <w:lang w:val="en-US"/>
        </w:rPr>
        <w:t>York</w:t>
      </w:r>
      <w:r w:rsidR="00220E17">
        <w:rPr>
          <w:szCs w:val="24"/>
          <w:lang w:val="en-US"/>
        </w:rPr>
        <w:t xml:space="preserve"> </w:t>
      </w:r>
      <w:r w:rsidR="0010710D" w:rsidRPr="00922A86">
        <w:rPr>
          <w:szCs w:val="24"/>
          <w:lang w:val="en-US"/>
        </w:rPr>
        <w:t>:</w:t>
      </w:r>
      <w:proofErr w:type="gramEnd"/>
      <w:r w:rsidRPr="00922A86">
        <w:rPr>
          <w:szCs w:val="24"/>
          <w:lang w:val="en-US"/>
        </w:rPr>
        <w:t xml:space="preserve"> Oxford University Press, 2010.</w:t>
      </w:r>
      <w:r w:rsidR="00C835A5">
        <w:rPr>
          <w:szCs w:val="24"/>
          <w:lang w:val="en-US"/>
        </w:rPr>
        <w:t>&lt;</w:t>
      </w:r>
      <w:proofErr w:type="spellStart"/>
      <w:r w:rsidR="00C835A5">
        <w:rPr>
          <w:szCs w:val="24"/>
          <w:lang w:val="en-US"/>
        </w:rPr>
        <w:t>lang</w:t>
      </w:r>
      <w:proofErr w:type="spellEnd"/>
      <w:r w:rsidR="00C835A5">
        <w:rPr>
          <w:szCs w:val="24"/>
          <w:lang w:val="en-US"/>
        </w:rPr>
        <w:t>&gt;</w:t>
      </w:r>
    </w:p>
    <w:p w:rsidR="00CB40A6" w:rsidRPr="00C835A5" w:rsidRDefault="00CB40A6" w:rsidP="00834A03">
      <w:pPr>
        <w:pStyle w:val="SCCNormalDoubleSpacing"/>
        <w:spacing w:after="240" w:line="240" w:lineRule="auto"/>
        <w:ind w:left="539" w:hanging="539"/>
        <w:rPr>
          <w:szCs w:val="24"/>
        </w:rPr>
      </w:pPr>
      <w:proofErr w:type="spellStart"/>
      <w:proofErr w:type="gramStart"/>
      <w:r w:rsidRPr="00922A86">
        <w:rPr>
          <w:szCs w:val="24"/>
          <w:lang w:val="en-US"/>
        </w:rPr>
        <w:t>Handa</w:t>
      </w:r>
      <w:proofErr w:type="spellEnd"/>
      <w:r w:rsidRPr="00922A86">
        <w:rPr>
          <w:szCs w:val="24"/>
          <w:lang w:val="en-US"/>
        </w:rPr>
        <w:t>, Sunny.</w:t>
      </w:r>
      <w:proofErr w:type="gramEnd"/>
      <w:r w:rsidRPr="00922A86">
        <w:rPr>
          <w:szCs w:val="24"/>
          <w:lang w:val="en-US"/>
        </w:rPr>
        <w:t xml:space="preserve">  </w:t>
      </w:r>
      <w:proofErr w:type="gramStart"/>
      <w:r w:rsidRPr="00922A86">
        <w:rPr>
          <w:i/>
          <w:szCs w:val="24"/>
          <w:lang w:val="en-US"/>
        </w:rPr>
        <w:t>Copyright Law in Canada</w:t>
      </w:r>
      <w:r w:rsidRPr="00922A86">
        <w:rPr>
          <w:szCs w:val="24"/>
          <w:lang w:val="en-US"/>
        </w:rPr>
        <w:t>.</w:t>
      </w:r>
      <w:proofErr w:type="gramEnd"/>
      <w:r w:rsidRPr="00922A86">
        <w:rPr>
          <w:szCs w:val="24"/>
          <w:lang w:val="en-US"/>
        </w:rPr>
        <w:t xml:space="preserve">  </w:t>
      </w:r>
      <w:r w:rsidRPr="00C835A5">
        <w:rPr>
          <w:szCs w:val="24"/>
        </w:rPr>
        <w:t>Markham, Ont.</w:t>
      </w:r>
      <w:r w:rsidR="0010710D" w:rsidRPr="00C835A5">
        <w:rPr>
          <w:szCs w:val="24"/>
        </w:rPr>
        <w:t> :</w:t>
      </w:r>
      <w:r w:rsidRPr="00C835A5">
        <w:rPr>
          <w:szCs w:val="24"/>
        </w:rPr>
        <w:t xml:space="preserve"> </w:t>
      </w:r>
      <w:proofErr w:type="spellStart"/>
      <w:r w:rsidRPr="00C835A5">
        <w:rPr>
          <w:szCs w:val="24"/>
        </w:rPr>
        <w:t>Butterworths</w:t>
      </w:r>
      <w:proofErr w:type="spellEnd"/>
      <w:r w:rsidRPr="00C835A5">
        <w:rPr>
          <w:szCs w:val="24"/>
        </w:rPr>
        <w:t>, 2002.</w:t>
      </w:r>
    </w:p>
    <w:p w:rsidR="004D62D1" w:rsidRPr="00922A86" w:rsidRDefault="004D62D1" w:rsidP="00834A03">
      <w:pPr>
        <w:pStyle w:val="SCCNormalDoubleSpacing"/>
        <w:spacing w:after="240" w:line="240" w:lineRule="auto"/>
        <w:ind w:left="539" w:hanging="539"/>
        <w:rPr>
          <w:szCs w:val="24"/>
          <w:lang w:val="en-US"/>
        </w:rPr>
      </w:pPr>
      <w:r w:rsidRPr="00CF4791">
        <w:rPr>
          <w:szCs w:val="24"/>
          <w:lang w:val="en-US"/>
        </w:rPr>
        <w:lastRenderedPageBreak/>
        <w:t xml:space="preserve">Katz, Ariel.  </w:t>
      </w:r>
      <w:r w:rsidRPr="00220E17">
        <w:rPr>
          <w:szCs w:val="24"/>
          <w:lang w:val="en-US"/>
        </w:rPr>
        <w:t>« </w:t>
      </w:r>
      <w:proofErr w:type="gramStart"/>
      <w:r w:rsidRPr="00220E17">
        <w:rPr>
          <w:szCs w:val="24"/>
          <w:lang w:val="en-US"/>
        </w:rPr>
        <w:t>Commentary</w:t>
      </w:r>
      <w:r w:rsidR="0010710D" w:rsidRPr="00220E17">
        <w:rPr>
          <w:szCs w:val="24"/>
          <w:lang w:val="en-US"/>
        </w:rPr>
        <w:t> :</w:t>
      </w:r>
      <w:proofErr w:type="gramEnd"/>
      <w:r w:rsidRPr="00220E17">
        <w:rPr>
          <w:szCs w:val="24"/>
          <w:lang w:val="en-US"/>
        </w:rPr>
        <w:t xml:space="preserve"> Is Collective Administration of Copyrights Justified by the Economic Literature? », in Marcel Boy</w:t>
      </w:r>
      <w:r w:rsidRPr="00922A86">
        <w:rPr>
          <w:szCs w:val="24"/>
          <w:lang w:val="en-US"/>
        </w:rPr>
        <w:t xml:space="preserve">er, Michael </w:t>
      </w:r>
      <w:proofErr w:type="spellStart"/>
      <w:r w:rsidRPr="00922A86">
        <w:rPr>
          <w:szCs w:val="24"/>
          <w:lang w:val="en-US"/>
        </w:rPr>
        <w:t>Trebilcock</w:t>
      </w:r>
      <w:proofErr w:type="spellEnd"/>
      <w:r w:rsidRPr="00922A86">
        <w:rPr>
          <w:szCs w:val="24"/>
          <w:lang w:val="en-US"/>
        </w:rPr>
        <w:t xml:space="preserve"> and David </w:t>
      </w:r>
      <w:proofErr w:type="spellStart"/>
      <w:r w:rsidRPr="00922A86">
        <w:rPr>
          <w:szCs w:val="24"/>
          <w:lang w:val="en-US"/>
        </w:rPr>
        <w:t>Vaver</w:t>
      </w:r>
      <w:proofErr w:type="spellEnd"/>
      <w:r w:rsidRPr="00922A86">
        <w:rPr>
          <w:szCs w:val="24"/>
          <w:lang w:val="en-US"/>
        </w:rPr>
        <w:t xml:space="preserve">, eds., </w:t>
      </w:r>
      <w:r w:rsidRPr="00922A86">
        <w:rPr>
          <w:i/>
          <w:szCs w:val="24"/>
          <w:lang w:val="en-US"/>
        </w:rPr>
        <w:t>Competition Policy and Intellectual Property</w:t>
      </w:r>
      <w:r w:rsidRPr="00922A86">
        <w:rPr>
          <w:szCs w:val="24"/>
          <w:lang w:val="en-US"/>
        </w:rPr>
        <w:t xml:space="preserve">.  </w:t>
      </w:r>
      <w:proofErr w:type="gramStart"/>
      <w:r w:rsidRPr="00922A86">
        <w:rPr>
          <w:szCs w:val="24"/>
          <w:lang w:val="en-US"/>
        </w:rPr>
        <w:t>Toronto</w:t>
      </w:r>
      <w:r w:rsidR="0010710D" w:rsidRPr="00922A86">
        <w:rPr>
          <w:szCs w:val="24"/>
          <w:lang w:val="en-US"/>
        </w:rPr>
        <w:t> :</w:t>
      </w:r>
      <w:proofErr w:type="gramEnd"/>
      <w:r w:rsidRPr="00922A86">
        <w:rPr>
          <w:szCs w:val="24"/>
          <w:lang w:val="en-US"/>
        </w:rPr>
        <w:t xml:space="preserve"> Irwin </w:t>
      </w:r>
      <w:r w:rsidR="00500C7D" w:rsidRPr="00922A86">
        <w:rPr>
          <w:szCs w:val="24"/>
          <w:lang w:val="en-US"/>
        </w:rPr>
        <w:t>L</w:t>
      </w:r>
      <w:r w:rsidRPr="00922A86">
        <w:rPr>
          <w:szCs w:val="24"/>
          <w:lang w:val="en-US"/>
        </w:rPr>
        <w:t>aw, 2009, 449.</w:t>
      </w:r>
    </w:p>
    <w:p w:rsidR="00704ABF" w:rsidRPr="00922A86" w:rsidRDefault="00834A03" w:rsidP="00834A03">
      <w:pPr>
        <w:pStyle w:val="SCCNormalDoubleSpacing"/>
        <w:spacing w:after="240" w:line="240" w:lineRule="auto"/>
        <w:ind w:left="539" w:hanging="539"/>
        <w:rPr>
          <w:szCs w:val="24"/>
          <w:lang w:val="en-US"/>
        </w:rPr>
      </w:pPr>
      <w:proofErr w:type="spellStart"/>
      <w:r w:rsidRPr="00922A86">
        <w:rPr>
          <w:szCs w:val="24"/>
          <w:lang w:val="en-US"/>
        </w:rPr>
        <w:t>McKeown</w:t>
      </w:r>
      <w:proofErr w:type="spellEnd"/>
      <w:r w:rsidRPr="00922A86">
        <w:rPr>
          <w:szCs w:val="24"/>
          <w:lang w:val="en-US"/>
        </w:rPr>
        <w:t>, John </w:t>
      </w:r>
      <w:r w:rsidR="00704ABF" w:rsidRPr="00922A86">
        <w:rPr>
          <w:szCs w:val="24"/>
          <w:lang w:val="en-US"/>
        </w:rPr>
        <w:t xml:space="preserve">S.  </w:t>
      </w:r>
      <w:r w:rsidR="00704ABF" w:rsidRPr="00922A86">
        <w:rPr>
          <w:i/>
          <w:szCs w:val="24"/>
          <w:lang w:val="en-US"/>
        </w:rPr>
        <w:t>Fox on Canadian Law of Copyright and Industrial Designs</w:t>
      </w:r>
      <w:r w:rsidR="00704ABF" w:rsidRPr="00922A86">
        <w:rPr>
          <w:szCs w:val="24"/>
          <w:lang w:val="en-US"/>
        </w:rPr>
        <w:t xml:space="preserve">, 4th </w:t>
      </w:r>
      <w:proofErr w:type="gramStart"/>
      <w:r w:rsidR="00704ABF" w:rsidRPr="00922A86">
        <w:rPr>
          <w:szCs w:val="24"/>
          <w:lang w:val="en-US"/>
        </w:rPr>
        <w:t>ed</w:t>
      </w:r>
      <w:proofErr w:type="gramEnd"/>
      <w:r w:rsidR="00704ABF" w:rsidRPr="00922A86">
        <w:rPr>
          <w:szCs w:val="24"/>
          <w:lang w:val="en-US"/>
        </w:rPr>
        <w:t xml:space="preserve">.  </w:t>
      </w:r>
      <w:proofErr w:type="gramStart"/>
      <w:r w:rsidR="00704ABF" w:rsidRPr="00922A86">
        <w:rPr>
          <w:szCs w:val="24"/>
          <w:lang w:val="en-US"/>
        </w:rPr>
        <w:t>Toronto</w:t>
      </w:r>
      <w:r w:rsidR="0010710D" w:rsidRPr="00922A86">
        <w:rPr>
          <w:szCs w:val="24"/>
          <w:lang w:val="en-US"/>
        </w:rPr>
        <w:t> :</w:t>
      </w:r>
      <w:proofErr w:type="gramEnd"/>
      <w:r w:rsidR="00704ABF" w:rsidRPr="00922A86">
        <w:rPr>
          <w:szCs w:val="24"/>
          <w:lang w:val="en-US"/>
        </w:rPr>
        <w:t xml:space="preserve"> Thomson/</w:t>
      </w:r>
      <w:proofErr w:type="spellStart"/>
      <w:r w:rsidR="00704ABF" w:rsidRPr="00922A86">
        <w:rPr>
          <w:szCs w:val="24"/>
          <w:lang w:val="en-US"/>
        </w:rPr>
        <w:t>Carswell</w:t>
      </w:r>
      <w:proofErr w:type="spellEnd"/>
      <w:r w:rsidR="00704ABF" w:rsidRPr="00922A86">
        <w:rPr>
          <w:szCs w:val="24"/>
          <w:lang w:val="en-US"/>
        </w:rPr>
        <w:t>, 2009 (loose</w:t>
      </w:r>
      <w:r w:rsidR="00233314">
        <w:rPr>
          <w:rFonts w:eastAsia="MS Mincho" w:hAnsi="MS Mincho"/>
          <w:szCs w:val="24"/>
          <w:lang w:val="en-US"/>
        </w:rPr>
        <w:t>-</w:t>
      </w:r>
      <w:r w:rsidR="00704ABF" w:rsidRPr="00922A86">
        <w:rPr>
          <w:szCs w:val="24"/>
          <w:lang w:val="en-US"/>
        </w:rPr>
        <w:t>leaf updated 201</w:t>
      </w:r>
      <w:r w:rsidR="00F83621" w:rsidRPr="00922A86">
        <w:rPr>
          <w:szCs w:val="24"/>
          <w:lang w:val="en-US"/>
        </w:rPr>
        <w:t>2</w:t>
      </w:r>
      <w:r w:rsidR="00C835A5">
        <w:rPr>
          <w:szCs w:val="24"/>
          <w:lang w:val="en-US"/>
        </w:rPr>
        <w:t>, release </w:t>
      </w:r>
      <w:r w:rsidR="00F83621" w:rsidRPr="00922A86">
        <w:rPr>
          <w:szCs w:val="24"/>
          <w:lang w:val="en-US"/>
        </w:rPr>
        <w:t>1</w:t>
      </w:r>
      <w:r w:rsidR="00704ABF" w:rsidRPr="00922A86">
        <w:rPr>
          <w:szCs w:val="24"/>
          <w:lang w:val="en-US"/>
        </w:rPr>
        <w:t>).</w:t>
      </w:r>
    </w:p>
    <w:p w:rsidR="0062152E" w:rsidRPr="00922A86" w:rsidRDefault="0014408D" w:rsidP="00834A03">
      <w:pPr>
        <w:pStyle w:val="SCCNormalDoubleSpacing"/>
        <w:spacing w:after="240" w:line="240" w:lineRule="auto"/>
        <w:ind w:left="539" w:hanging="539"/>
        <w:rPr>
          <w:szCs w:val="24"/>
        </w:rPr>
      </w:pPr>
      <w:proofErr w:type="spellStart"/>
      <w:proofErr w:type="gramStart"/>
      <w:r w:rsidRPr="00922A86">
        <w:rPr>
          <w:szCs w:val="24"/>
          <w:lang w:val="en-US"/>
        </w:rPr>
        <w:t>Moyse</w:t>
      </w:r>
      <w:proofErr w:type="spellEnd"/>
      <w:r w:rsidRPr="00922A86">
        <w:rPr>
          <w:szCs w:val="24"/>
          <w:lang w:val="en-US"/>
        </w:rPr>
        <w:t>, Pierre</w:t>
      </w:r>
      <w:r w:rsidR="002F38C1">
        <w:rPr>
          <w:szCs w:val="24"/>
          <w:lang w:val="en-US"/>
        </w:rPr>
        <w:t>-</w:t>
      </w:r>
      <w:r w:rsidRPr="00922A86">
        <w:rPr>
          <w:szCs w:val="24"/>
          <w:lang w:val="en-US"/>
        </w:rPr>
        <w:t>Emmanuel.</w:t>
      </w:r>
      <w:proofErr w:type="gramEnd"/>
      <w:r w:rsidRPr="00922A86">
        <w:rPr>
          <w:szCs w:val="24"/>
          <w:lang w:val="en-US"/>
        </w:rPr>
        <w:t xml:space="preserve">  </w:t>
      </w:r>
      <w:r w:rsidRPr="00922A86">
        <w:rPr>
          <w:i/>
          <w:szCs w:val="24"/>
        </w:rPr>
        <w:t xml:space="preserve">Le </w:t>
      </w:r>
      <w:r w:rsidR="00583E4D" w:rsidRPr="00922A86">
        <w:rPr>
          <w:i/>
          <w:szCs w:val="24"/>
        </w:rPr>
        <w:t>d</w:t>
      </w:r>
      <w:r w:rsidRPr="00922A86">
        <w:rPr>
          <w:i/>
          <w:szCs w:val="24"/>
        </w:rPr>
        <w:t>roit de distribution</w:t>
      </w:r>
      <w:r w:rsidR="0010710D" w:rsidRPr="00922A86">
        <w:rPr>
          <w:i/>
          <w:szCs w:val="24"/>
        </w:rPr>
        <w:t> :</w:t>
      </w:r>
      <w:r w:rsidRPr="00922A86">
        <w:rPr>
          <w:i/>
          <w:szCs w:val="24"/>
        </w:rPr>
        <w:t xml:space="preserve"> analyse historique et comparative en droit d</w:t>
      </w:r>
      <w:r w:rsidR="00951CA2">
        <w:rPr>
          <w:i/>
          <w:szCs w:val="24"/>
        </w:rPr>
        <w:t>’</w:t>
      </w:r>
      <w:r w:rsidRPr="00922A86">
        <w:rPr>
          <w:i/>
          <w:szCs w:val="24"/>
        </w:rPr>
        <w:t>auteur</w:t>
      </w:r>
      <w:r w:rsidRPr="00922A86">
        <w:rPr>
          <w:szCs w:val="24"/>
        </w:rPr>
        <w:t xml:space="preserve">.  </w:t>
      </w:r>
      <w:proofErr w:type="spellStart"/>
      <w:r w:rsidRPr="00922A86">
        <w:rPr>
          <w:szCs w:val="24"/>
        </w:rPr>
        <w:t>Cowansville</w:t>
      </w:r>
      <w:proofErr w:type="spellEnd"/>
      <w:r w:rsidRPr="00922A86">
        <w:rPr>
          <w:szCs w:val="24"/>
        </w:rPr>
        <w:t xml:space="preserve">, </w:t>
      </w:r>
      <w:proofErr w:type="spellStart"/>
      <w:r w:rsidRPr="00922A86">
        <w:rPr>
          <w:szCs w:val="24"/>
        </w:rPr>
        <w:t>Qué</w:t>
      </w:r>
      <w:proofErr w:type="spellEnd"/>
      <w:r w:rsidRPr="00922A86">
        <w:rPr>
          <w:szCs w:val="24"/>
        </w:rPr>
        <w:t>.</w:t>
      </w:r>
      <w:r w:rsidR="0010710D" w:rsidRPr="00922A86">
        <w:rPr>
          <w:szCs w:val="24"/>
        </w:rPr>
        <w:t> :</w:t>
      </w:r>
      <w:r w:rsidRPr="00922A86">
        <w:rPr>
          <w:szCs w:val="24"/>
        </w:rPr>
        <w:t xml:space="preserve"> Yvon Blais, 2007.</w:t>
      </w:r>
    </w:p>
    <w:p w:rsidR="002A1D07" w:rsidRPr="00922A86" w:rsidRDefault="002A1D07" w:rsidP="00834A03">
      <w:pPr>
        <w:pStyle w:val="SCCNormalDoubleSpacing"/>
        <w:spacing w:after="240" w:line="240" w:lineRule="auto"/>
        <w:ind w:left="539" w:hanging="539"/>
        <w:rPr>
          <w:i/>
          <w:szCs w:val="24"/>
        </w:rPr>
      </w:pPr>
      <w:r w:rsidRPr="00922A86">
        <w:rPr>
          <w:i/>
          <w:szCs w:val="24"/>
        </w:rPr>
        <w:t>Petit Robert</w:t>
      </w:r>
      <w:r w:rsidRPr="00E55C85">
        <w:rPr>
          <w:szCs w:val="24"/>
        </w:rPr>
        <w:t xml:space="preserve"> </w:t>
      </w:r>
      <w:r w:rsidR="00E55C85" w:rsidRPr="00E55C85">
        <w:rPr>
          <w:szCs w:val="24"/>
        </w:rPr>
        <w:t>(2012)</w:t>
      </w:r>
      <w:r w:rsidR="00E55C85">
        <w:rPr>
          <w:szCs w:val="24"/>
        </w:rPr>
        <w:t>,</w:t>
      </w:r>
      <w:r w:rsidR="00E55C85" w:rsidRPr="00E55C85">
        <w:rPr>
          <w:szCs w:val="24"/>
        </w:rPr>
        <w:t xml:space="preserve"> </w:t>
      </w:r>
      <w:r w:rsidRPr="00922A86">
        <w:rPr>
          <w:szCs w:val="24"/>
        </w:rPr>
        <w:t>« communiquer ».</w:t>
      </w:r>
      <w:r w:rsidRPr="00922A86">
        <w:rPr>
          <w:i/>
          <w:szCs w:val="24"/>
        </w:rPr>
        <w:t xml:space="preserve"> </w:t>
      </w:r>
    </w:p>
    <w:p w:rsidR="00FE35C1" w:rsidRPr="00922A86" w:rsidRDefault="00391E76" w:rsidP="00834A03">
      <w:pPr>
        <w:pStyle w:val="SCCNormalDoubleSpacing"/>
        <w:spacing w:after="240" w:line="240" w:lineRule="auto"/>
        <w:ind w:left="539" w:hanging="539"/>
        <w:rPr>
          <w:szCs w:val="24"/>
          <w:lang w:val="en-US"/>
        </w:rPr>
      </w:pPr>
      <w:r w:rsidRPr="00922A86">
        <w:rPr>
          <w:szCs w:val="24"/>
          <w:lang w:val="en-US"/>
        </w:rPr>
        <w:t xml:space="preserve">Sullivan, Ruth.  </w:t>
      </w:r>
      <w:r w:rsidRPr="00922A86">
        <w:rPr>
          <w:i/>
          <w:szCs w:val="24"/>
          <w:lang w:val="en-US"/>
        </w:rPr>
        <w:t>Statutory Interpretation</w:t>
      </w:r>
      <w:r w:rsidRPr="00922A86">
        <w:rPr>
          <w:szCs w:val="24"/>
          <w:lang w:val="en-US"/>
        </w:rPr>
        <w:t xml:space="preserve">, 2nd </w:t>
      </w:r>
      <w:proofErr w:type="gramStart"/>
      <w:r w:rsidRPr="00922A86">
        <w:rPr>
          <w:szCs w:val="24"/>
          <w:lang w:val="en-US"/>
        </w:rPr>
        <w:t>ed</w:t>
      </w:r>
      <w:proofErr w:type="gramEnd"/>
      <w:r w:rsidRPr="00922A86">
        <w:rPr>
          <w:szCs w:val="24"/>
          <w:lang w:val="en-US"/>
        </w:rPr>
        <w:t xml:space="preserve">.  </w:t>
      </w:r>
      <w:proofErr w:type="gramStart"/>
      <w:r w:rsidRPr="00922A86">
        <w:rPr>
          <w:szCs w:val="24"/>
          <w:lang w:val="en-US"/>
        </w:rPr>
        <w:t>Toronto</w:t>
      </w:r>
      <w:r w:rsidR="0010710D" w:rsidRPr="00922A86">
        <w:rPr>
          <w:szCs w:val="24"/>
          <w:lang w:val="en-US"/>
        </w:rPr>
        <w:t> :</w:t>
      </w:r>
      <w:proofErr w:type="gramEnd"/>
      <w:r w:rsidRPr="00922A86">
        <w:rPr>
          <w:szCs w:val="24"/>
          <w:lang w:val="en-US"/>
        </w:rPr>
        <w:t xml:space="preserve"> Irwin Law, 2007.</w:t>
      </w:r>
    </w:p>
    <w:p w:rsidR="0040229F" w:rsidRPr="00922A86" w:rsidRDefault="0040229F" w:rsidP="00834A03">
      <w:pPr>
        <w:pStyle w:val="SCCNormalDoubleSpacing"/>
        <w:spacing w:after="240" w:line="240" w:lineRule="auto"/>
        <w:ind w:left="539" w:hanging="539"/>
        <w:rPr>
          <w:szCs w:val="24"/>
        </w:rPr>
      </w:pPr>
      <w:r w:rsidRPr="00922A86">
        <w:rPr>
          <w:szCs w:val="24"/>
          <w:lang w:val="en-US"/>
        </w:rPr>
        <w:t xml:space="preserve">Sullivan, Ruth.  </w:t>
      </w:r>
      <w:r w:rsidRPr="00922A86">
        <w:rPr>
          <w:i/>
          <w:szCs w:val="24"/>
          <w:lang w:val="en-US"/>
        </w:rPr>
        <w:t xml:space="preserve">Sullivan and </w:t>
      </w:r>
      <w:proofErr w:type="spellStart"/>
      <w:r w:rsidRPr="00922A86">
        <w:rPr>
          <w:i/>
          <w:szCs w:val="24"/>
          <w:lang w:val="en-US"/>
        </w:rPr>
        <w:t>Driedger</w:t>
      </w:r>
      <w:proofErr w:type="spellEnd"/>
      <w:r w:rsidRPr="00922A86">
        <w:rPr>
          <w:i/>
          <w:szCs w:val="24"/>
          <w:lang w:val="en-US"/>
        </w:rPr>
        <w:t xml:space="preserve"> on the Construction of Statutes</w:t>
      </w:r>
      <w:r w:rsidRPr="00922A86">
        <w:rPr>
          <w:szCs w:val="24"/>
          <w:lang w:val="en-US"/>
        </w:rPr>
        <w:t xml:space="preserve">, 4th </w:t>
      </w:r>
      <w:proofErr w:type="gramStart"/>
      <w:r w:rsidRPr="00922A86">
        <w:rPr>
          <w:szCs w:val="24"/>
          <w:lang w:val="en-US"/>
        </w:rPr>
        <w:t>ed</w:t>
      </w:r>
      <w:proofErr w:type="gramEnd"/>
      <w:r w:rsidRPr="00922A86">
        <w:rPr>
          <w:szCs w:val="24"/>
          <w:lang w:val="en-US"/>
        </w:rPr>
        <w:t xml:space="preserve">.  </w:t>
      </w:r>
      <w:r w:rsidRPr="00922A86">
        <w:rPr>
          <w:szCs w:val="24"/>
        </w:rPr>
        <w:t>Markham, Ont.</w:t>
      </w:r>
      <w:r w:rsidR="0010710D" w:rsidRPr="00922A86">
        <w:rPr>
          <w:szCs w:val="24"/>
        </w:rPr>
        <w:t> :</w:t>
      </w:r>
      <w:r w:rsidRPr="00922A86">
        <w:rPr>
          <w:szCs w:val="24"/>
        </w:rPr>
        <w:t xml:space="preserve"> </w:t>
      </w:r>
      <w:proofErr w:type="spellStart"/>
      <w:r w:rsidRPr="00922A86">
        <w:rPr>
          <w:szCs w:val="24"/>
        </w:rPr>
        <w:t>Butterworths</w:t>
      </w:r>
      <w:proofErr w:type="spellEnd"/>
      <w:r w:rsidRPr="00922A86">
        <w:rPr>
          <w:szCs w:val="24"/>
        </w:rPr>
        <w:t>, 2002.</w:t>
      </w:r>
    </w:p>
    <w:p w:rsidR="003C6D60" w:rsidRPr="00922A86" w:rsidRDefault="003C6D60" w:rsidP="00834A03">
      <w:pPr>
        <w:pStyle w:val="SCCNormalDoubleSpacing"/>
        <w:spacing w:after="240" w:line="240" w:lineRule="auto"/>
        <w:ind w:left="539" w:hanging="539"/>
        <w:rPr>
          <w:szCs w:val="24"/>
        </w:rPr>
      </w:pPr>
      <w:r w:rsidRPr="00922A86">
        <w:rPr>
          <w:i/>
          <w:szCs w:val="24"/>
        </w:rPr>
        <w:t>Trésor de la langue française</w:t>
      </w:r>
      <w:r w:rsidRPr="00922A86">
        <w:rPr>
          <w:szCs w:val="24"/>
        </w:rPr>
        <w:t xml:space="preserve"> (en ligne</w:t>
      </w:r>
      <w:r w:rsidR="0010710D" w:rsidRPr="00922A86">
        <w:rPr>
          <w:szCs w:val="24"/>
        </w:rPr>
        <w:t> :</w:t>
      </w:r>
      <w:r w:rsidRPr="00922A86">
        <w:rPr>
          <w:szCs w:val="24"/>
        </w:rPr>
        <w:t xml:space="preserve"> </w:t>
      </w:r>
      <w:r w:rsidR="006F5D1D" w:rsidRPr="00922A86">
        <w:rPr>
          <w:szCs w:val="24"/>
        </w:rPr>
        <w:t>http://atilf.atilf.fr/</w:t>
      </w:r>
      <w:r w:rsidR="00A81A24" w:rsidRPr="00922A86">
        <w:rPr>
          <w:szCs w:val="24"/>
        </w:rPr>
        <w:t>),</w:t>
      </w:r>
      <w:r w:rsidRPr="00922A86">
        <w:rPr>
          <w:szCs w:val="24"/>
        </w:rPr>
        <w:t xml:space="preserve"> « communiquer ».</w:t>
      </w:r>
    </w:p>
    <w:p w:rsidR="00CB40A6" w:rsidRPr="00922A86" w:rsidRDefault="00CB40A6" w:rsidP="00834A03">
      <w:pPr>
        <w:pStyle w:val="SCCNormalDoubleSpacing"/>
        <w:spacing w:after="720" w:line="240" w:lineRule="auto"/>
        <w:ind w:left="539" w:hanging="539"/>
        <w:rPr>
          <w:szCs w:val="24"/>
        </w:rPr>
      </w:pPr>
      <w:proofErr w:type="spellStart"/>
      <w:r w:rsidRPr="00922A86">
        <w:rPr>
          <w:szCs w:val="24"/>
          <w:lang w:val="en-US"/>
        </w:rPr>
        <w:t>Vaver</w:t>
      </w:r>
      <w:proofErr w:type="spellEnd"/>
      <w:r w:rsidRPr="00922A86">
        <w:rPr>
          <w:szCs w:val="24"/>
          <w:lang w:val="en-US"/>
        </w:rPr>
        <w:t xml:space="preserve">, David.  </w:t>
      </w:r>
      <w:r w:rsidRPr="00922A86">
        <w:rPr>
          <w:i/>
          <w:szCs w:val="24"/>
          <w:lang w:val="en-US"/>
        </w:rPr>
        <w:t xml:space="preserve">Intellectual Property </w:t>
      </w:r>
      <w:proofErr w:type="gramStart"/>
      <w:r w:rsidRPr="00922A86">
        <w:rPr>
          <w:i/>
          <w:szCs w:val="24"/>
          <w:lang w:val="en-US"/>
        </w:rPr>
        <w:t>Law</w:t>
      </w:r>
      <w:r w:rsidR="0010710D" w:rsidRPr="00922A86">
        <w:rPr>
          <w:i/>
          <w:szCs w:val="24"/>
          <w:lang w:val="en-US"/>
        </w:rPr>
        <w:t> :</w:t>
      </w:r>
      <w:proofErr w:type="gramEnd"/>
      <w:r w:rsidR="00AE44EF" w:rsidRPr="00922A86">
        <w:rPr>
          <w:i/>
          <w:szCs w:val="24"/>
          <w:lang w:val="en-US"/>
        </w:rPr>
        <w:t xml:space="preserve"> Copyright, Patents, Trade</w:t>
      </w:r>
      <w:r w:rsidR="002F38C1">
        <w:rPr>
          <w:i/>
          <w:szCs w:val="24"/>
          <w:lang w:val="en-US"/>
        </w:rPr>
        <w:t>-</w:t>
      </w:r>
      <w:r w:rsidR="00AE44EF" w:rsidRPr="00922A86">
        <w:rPr>
          <w:i/>
          <w:szCs w:val="24"/>
          <w:lang w:val="en-US"/>
        </w:rPr>
        <w:t>marks</w:t>
      </w:r>
      <w:r w:rsidRPr="00922A86">
        <w:rPr>
          <w:szCs w:val="24"/>
          <w:lang w:val="en-US"/>
        </w:rPr>
        <w:t xml:space="preserve">, 2nd ed.  </w:t>
      </w:r>
      <w:r w:rsidRPr="00922A86">
        <w:rPr>
          <w:szCs w:val="24"/>
        </w:rPr>
        <w:t>Toronto</w:t>
      </w:r>
      <w:r w:rsidR="0010710D" w:rsidRPr="00922A86">
        <w:rPr>
          <w:szCs w:val="24"/>
        </w:rPr>
        <w:t> :</w:t>
      </w:r>
      <w:r w:rsidR="00C835A5">
        <w:rPr>
          <w:szCs w:val="24"/>
        </w:rPr>
        <w:t xml:space="preserve"> Irwin Law, 2011. </w:t>
      </w:r>
    </w:p>
    <w:p w:rsidR="00D5435D" w:rsidRPr="00922A86" w:rsidRDefault="00880D0F" w:rsidP="0010710D">
      <w:pPr>
        <w:pStyle w:val="SCCNormalDoubleSpacing"/>
        <w:spacing w:after="480"/>
        <w:rPr>
          <w:szCs w:val="24"/>
        </w:rPr>
      </w:pPr>
      <w:r w:rsidRPr="00922A86">
        <w:rPr>
          <w:szCs w:val="24"/>
        </w:rPr>
        <w:tab/>
      </w:r>
      <w:r w:rsidR="009B57B3" w:rsidRPr="00922A86">
        <w:rPr>
          <w:szCs w:val="24"/>
        </w:rPr>
        <w:t>P</w:t>
      </w:r>
      <w:r w:rsidR="0043088E" w:rsidRPr="00922A86">
        <w:rPr>
          <w:szCs w:val="24"/>
        </w:rPr>
        <w:t>OURVOI contre un arrêt de la</w:t>
      </w:r>
      <w:r w:rsidR="009B57B3" w:rsidRPr="00922A86">
        <w:rPr>
          <w:szCs w:val="24"/>
        </w:rPr>
        <w:t xml:space="preserve"> Cour d</w:t>
      </w:r>
      <w:r w:rsidR="00951CA2">
        <w:rPr>
          <w:szCs w:val="24"/>
        </w:rPr>
        <w:t>’</w:t>
      </w:r>
      <w:r w:rsidR="009B57B3" w:rsidRPr="00922A86">
        <w:rPr>
          <w:szCs w:val="24"/>
        </w:rPr>
        <w:t>appel fédérale</w:t>
      </w:r>
      <w:r w:rsidRPr="00922A86">
        <w:rPr>
          <w:szCs w:val="24"/>
        </w:rPr>
        <w:t xml:space="preserve"> (les juges </w:t>
      </w:r>
      <w:proofErr w:type="spellStart"/>
      <w:r w:rsidRPr="00922A86">
        <w:rPr>
          <w:szCs w:val="24"/>
        </w:rPr>
        <w:t>Létourneau</w:t>
      </w:r>
      <w:proofErr w:type="spellEnd"/>
      <w:r w:rsidRPr="00922A86">
        <w:rPr>
          <w:szCs w:val="24"/>
        </w:rPr>
        <w:t xml:space="preserve">, Nadon et Pelletier), 2010 CAF 221, 406 N.R. 288, 323 D.L.R. (4th) 62, 86 C.P.R. (4th) 258, 14 </w:t>
      </w:r>
      <w:proofErr w:type="spellStart"/>
      <w:r w:rsidRPr="00922A86">
        <w:rPr>
          <w:szCs w:val="24"/>
        </w:rPr>
        <w:t>Admin</w:t>
      </w:r>
      <w:proofErr w:type="spellEnd"/>
      <w:r w:rsidRPr="00922A86">
        <w:rPr>
          <w:szCs w:val="24"/>
        </w:rPr>
        <w:t>. L.R. (5th) 151, [2010] A.C.F. n</w:t>
      </w:r>
      <w:r w:rsidRPr="00922A86">
        <w:rPr>
          <w:szCs w:val="24"/>
          <w:vertAlign w:val="superscript"/>
        </w:rPr>
        <w:t>o</w:t>
      </w:r>
      <w:r w:rsidR="00EF5A32">
        <w:rPr>
          <w:szCs w:val="24"/>
        </w:rPr>
        <w:t> </w:t>
      </w:r>
      <w:r w:rsidRPr="00922A86">
        <w:rPr>
          <w:szCs w:val="24"/>
        </w:rPr>
        <w:t xml:space="preserve">1088 (QL), 2010 </w:t>
      </w:r>
      <w:proofErr w:type="spellStart"/>
      <w:r w:rsidRPr="00922A86">
        <w:rPr>
          <w:szCs w:val="24"/>
        </w:rPr>
        <w:t>CarswellNat</w:t>
      </w:r>
      <w:proofErr w:type="spellEnd"/>
      <w:r w:rsidRPr="00922A86">
        <w:rPr>
          <w:szCs w:val="24"/>
        </w:rPr>
        <w:t xml:space="preserve"> 3113, qui a confirmé une décision de la Commission du droit d</w:t>
      </w:r>
      <w:r w:rsidR="00951CA2">
        <w:rPr>
          <w:szCs w:val="24"/>
        </w:rPr>
        <w:t>’</w:t>
      </w:r>
      <w:r w:rsidRPr="00922A86">
        <w:rPr>
          <w:szCs w:val="24"/>
        </w:rPr>
        <w:t>auteur</w:t>
      </w:r>
      <w:r w:rsidR="00C30C71">
        <w:rPr>
          <w:szCs w:val="24"/>
        </w:rPr>
        <w:t>, www.cb-cda.gc.ca/decisions/2007/20171018-m-e.pdf,</w:t>
      </w:r>
      <w:r w:rsidRPr="00922A86">
        <w:rPr>
          <w:szCs w:val="24"/>
        </w:rPr>
        <w:t xml:space="preserve"> </w:t>
      </w:r>
      <w:r w:rsidR="009C7DD2" w:rsidRPr="00922A86">
        <w:rPr>
          <w:szCs w:val="24"/>
          <w:lang w:val="en-CA"/>
        </w:rPr>
        <w:fldChar w:fldCharType="begin"/>
      </w:r>
      <w:r w:rsidRPr="00922A86">
        <w:rPr>
          <w:szCs w:val="24"/>
        </w:rPr>
        <w:instrText xml:space="preserve"> SEQ CHAPTER \h \r 1</w:instrText>
      </w:r>
      <w:r w:rsidR="009C7DD2" w:rsidRPr="00922A86">
        <w:rPr>
          <w:szCs w:val="24"/>
          <w:lang w:val="en-CA"/>
        </w:rPr>
        <w:fldChar w:fldCharType="end"/>
      </w:r>
      <w:r w:rsidRPr="00C30C71">
        <w:rPr>
          <w:szCs w:val="24"/>
        </w:rPr>
        <w:t xml:space="preserve">(2007), 61 C.P.R. (4th) 353, [2007] </w:t>
      </w:r>
      <w:r w:rsidR="00C30C71" w:rsidRPr="00C30C71">
        <w:rPr>
          <w:szCs w:val="24"/>
        </w:rPr>
        <w:t>D.C.D.A.</w:t>
      </w:r>
      <w:r w:rsidRPr="00C30C71">
        <w:rPr>
          <w:szCs w:val="24"/>
        </w:rPr>
        <w:t xml:space="preserve"> </w:t>
      </w:r>
      <w:r w:rsidR="00C30C71" w:rsidRPr="00C30C71">
        <w:rPr>
          <w:szCs w:val="24"/>
        </w:rPr>
        <w:t>n</w:t>
      </w:r>
      <w:r w:rsidR="00C30C71" w:rsidRPr="00C30C71">
        <w:rPr>
          <w:szCs w:val="24"/>
          <w:vertAlign w:val="superscript"/>
        </w:rPr>
        <w:t>o</w:t>
      </w:r>
      <w:r w:rsidR="0010710D" w:rsidRPr="00C30C71">
        <w:rPr>
          <w:szCs w:val="24"/>
        </w:rPr>
        <w:t> </w:t>
      </w:r>
      <w:r w:rsidRPr="00C30C71">
        <w:rPr>
          <w:szCs w:val="24"/>
        </w:rPr>
        <w:t>7 (QL)</w:t>
      </w:r>
      <w:r w:rsidR="004259E5" w:rsidRPr="00C30C71">
        <w:rPr>
          <w:szCs w:val="24"/>
        </w:rPr>
        <w:t xml:space="preserve">, 2007 </w:t>
      </w:r>
      <w:proofErr w:type="spellStart"/>
      <w:r w:rsidR="004259E5" w:rsidRPr="00C30C71">
        <w:rPr>
          <w:szCs w:val="24"/>
        </w:rPr>
        <w:t>CarswellNat</w:t>
      </w:r>
      <w:proofErr w:type="spellEnd"/>
      <w:r w:rsidR="004259E5" w:rsidRPr="00C30C71">
        <w:rPr>
          <w:szCs w:val="24"/>
        </w:rPr>
        <w:t xml:space="preserve"> 3467</w:t>
      </w:r>
      <w:r w:rsidRPr="00C30C71">
        <w:rPr>
          <w:szCs w:val="24"/>
        </w:rPr>
        <w:t xml:space="preserve">.  </w:t>
      </w:r>
      <w:r w:rsidR="002B23CE" w:rsidRPr="00922A86">
        <w:rPr>
          <w:szCs w:val="24"/>
        </w:rPr>
        <w:t xml:space="preserve">Pourvoi </w:t>
      </w:r>
      <w:r w:rsidR="00453792" w:rsidRPr="00922A86">
        <w:rPr>
          <w:szCs w:val="24"/>
        </w:rPr>
        <w:t xml:space="preserve">accueilli, </w:t>
      </w:r>
      <w:r w:rsidR="005A08DE" w:rsidRPr="00922A86">
        <w:rPr>
          <w:szCs w:val="24"/>
        </w:rPr>
        <w:t xml:space="preserve">les juges </w:t>
      </w:r>
      <w:proofErr w:type="spellStart"/>
      <w:r w:rsidR="005A08DE" w:rsidRPr="00922A86">
        <w:rPr>
          <w:szCs w:val="24"/>
        </w:rPr>
        <w:t>LeBel</w:t>
      </w:r>
      <w:proofErr w:type="spellEnd"/>
      <w:r w:rsidR="005A08DE" w:rsidRPr="00922A86">
        <w:rPr>
          <w:szCs w:val="24"/>
        </w:rPr>
        <w:t xml:space="preserve">, Fish, </w:t>
      </w:r>
      <w:proofErr w:type="spellStart"/>
      <w:r w:rsidR="005A08DE" w:rsidRPr="00922A86">
        <w:rPr>
          <w:szCs w:val="24"/>
        </w:rPr>
        <w:t>Rothstein</w:t>
      </w:r>
      <w:proofErr w:type="spellEnd"/>
      <w:r w:rsidR="005A08DE" w:rsidRPr="00922A86">
        <w:rPr>
          <w:szCs w:val="24"/>
        </w:rPr>
        <w:t xml:space="preserve"> et Cromwell sont </w:t>
      </w:r>
      <w:r w:rsidR="00453792" w:rsidRPr="00922A86">
        <w:rPr>
          <w:szCs w:val="24"/>
        </w:rPr>
        <w:t>dissidents</w:t>
      </w:r>
      <w:r w:rsidR="002B23CE" w:rsidRPr="00922A86">
        <w:rPr>
          <w:szCs w:val="24"/>
        </w:rPr>
        <w:t>.</w:t>
      </w:r>
    </w:p>
    <w:p w:rsidR="00C84697" w:rsidRPr="00922A86" w:rsidRDefault="00C87095" w:rsidP="0010710D">
      <w:pPr>
        <w:pStyle w:val="SCCNormalDoubleSpacing"/>
        <w:spacing w:after="480"/>
        <w:rPr>
          <w:szCs w:val="24"/>
        </w:rPr>
      </w:pPr>
      <w:r w:rsidRPr="003E22BD">
        <w:rPr>
          <w:i/>
          <w:szCs w:val="24"/>
        </w:rPr>
        <w:tab/>
        <w:t>Bar</w:t>
      </w:r>
      <w:r w:rsidR="007907AB" w:rsidRPr="003E22BD">
        <w:rPr>
          <w:i/>
          <w:szCs w:val="24"/>
        </w:rPr>
        <w:t>ry </w:t>
      </w:r>
      <w:r w:rsidRPr="003E22BD">
        <w:rPr>
          <w:i/>
          <w:szCs w:val="24"/>
        </w:rPr>
        <w:t xml:space="preserve">B. </w:t>
      </w:r>
      <w:proofErr w:type="spellStart"/>
      <w:r w:rsidRPr="003E22BD">
        <w:rPr>
          <w:i/>
          <w:szCs w:val="24"/>
        </w:rPr>
        <w:t>Sookman</w:t>
      </w:r>
      <w:proofErr w:type="spellEnd"/>
      <w:r w:rsidRPr="00922A86">
        <w:rPr>
          <w:szCs w:val="24"/>
        </w:rPr>
        <w:t xml:space="preserve"> et </w:t>
      </w:r>
      <w:r w:rsidR="007907AB" w:rsidRPr="003E22BD">
        <w:rPr>
          <w:i/>
          <w:szCs w:val="24"/>
        </w:rPr>
        <w:t>Daniel </w:t>
      </w:r>
      <w:r w:rsidR="00CF3BB3" w:rsidRPr="003E22BD">
        <w:rPr>
          <w:i/>
          <w:szCs w:val="24"/>
        </w:rPr>
        <w:t xml:space="preserve">G. C. </w:t>
      </w:r>
      <w:r w:rsidRPr="003E22BD">
        <w:rPr>
          <w:i/>
          <w:szCs w:val="24"/>
        </w:rPr>
        <w:t>Glover</w:t>
      </w:r>
      <w:r w:rsidR="00E17480" w:rsidRPr="00922A86">
        <w:rPr>
          <w:szCs w:val="24"/>
        </w:rPr>
        <w:t xml:space="preserve">, pour les </w:t>
      </w:r>
      <w:r w:rsidRPr="00922A86">
        <w:rPr>
          <w:szCs w:val="24"/>
        </w:rPr>
        <w:t>appelante</w:t>
      </w:r>
      <w:r w:rsidR="00E17480" w:rsidRPr="00922A86">
        <w:rPr>
          <w:szCs w:val="24"/>
        </w:rPr>
        <w:t>s</w:t>
      </w:r>
      <w:r w:rsidRPr="00922A86">
        <w:rPr>
          <w:szCs w:val="24"/>
        </w:rPr>
        <w:t>.</w:t>
      </w:r>
    </w:p>
    <w:p w:rsidR="00C84697" w:rsidRPr="00922A86" w:rsidRDefault="00C87095" w:rsidP="0010710D">
      <w:pPr>
        <w:pStyle w:val="SCCNormalDoubleSpacing"/>
        <w:spacing w:after="480"/>
        <w:rPr>
          <w:szCs w:val="24"/>
        </w:rPr>
      </w:pPr>
      <w:r w:rsidRPr="003E22BD">
        <w:rPr>
          <w:i/>
          <w:szCs w:val="24"/>
        </w:rPr>
        <w:lastRenderedPageBreak/>
        <w:tab/>
        <w:t xml:space="preserve">Gilles </w:t>
      </w:r>
      <w:proofErr w:type="spellStart"/>
      <w:r w:rsidRPr="003E22BD">
        <w:rPr>
          <w:i/>
          <w:szCs w:val="24"/>
        </w:rPr>
        <w:t>Daigle</w:t>
      </w:r>
      <w:proofErr w:type="spellEnd"/>
      <w:r w:rsidRPr="00922A86">
        <w:rPr>
          <w:szCs w:val="24"/>
        </w:rPr>
        <w:t xml:space="preserve">, </w:t>
      </w:r>
      <w:r w:rsidR="00BA71C2" w:rsidRPr="00922A86">
        <w:rPr>
          <w:i/>
          <w:szCs w:val="24"/>
        </w:rPr>
        <w:t>D.</w:t>
      </w:r>
      <w:r w:rsidR="00EF5A32">
        <w:rPr>
          <w:i/>
          <w:szCs w:val="24"/>
        </w:rPr>
        <w:t> </w:t>
      </w:r>
      <w:r w:rsidRPr="003E22BD">
        <w:rPr>
          <w:i/>
          <w:szCs w:val="24"/>
        </w:rPr>
        <w:t>Lynne Watt</w:t>
      </w:r>
      <w:r w:rsidR="00E17480" w:rsidRPr="00233314">
        <w:rPr>
          <w:szCs w:val="24"/>
        </w:rPr>
        <w:t>,</w:t>
      </w:r>
      <w:r w:rsidR="00E17480" w:rsidRPr="003E22BD">
        <w:rPr>
          <w:i/>
          <w:szCs w:val="24"/>
        </w:rPr>
        <w:t xml:space="preserve"> </w:t>
      </w:r>
      <w:r w:rsidRPr="003E22BD">
        <w:rPr>
          <w:i/>
          <w:szCs w:val="24"/>
        </w:rPr>
        <w:t xml:space="preserve">Paul </w:t>
      </w:r>
      <w:proofErr w:type="spellStart"/>
      <w:r w:rsidRPr="003E22BD">
        <w:rPr>
          <w:i/>
          <w:szCs w:val="24"/>
        </w:rPr>
        <w:t>Spurgeon</w:t>
      </w:r>
      <w:proofErr w:type="spellEnd"/>
      <w:r w:rsidR="00E17480" w:rsidRPr="003E22BD">
        <w:rPr>
          <w:i/>
          <w:szCs w:val="24"/>
        </w:rPr>
        <w:t xml:space="preserve"> </w:t>
      </w:r>
      <w:r w:rsidR="00E17480" w:rsidRPr="00233314">
        <w:rPr>
          <w:szCs w:val="24"/>
        </w:rPr>
        <w:t>et</w:t>
      </w:r>
      <w:r w:rsidR="00E17480" w:rsidRPr="003E22BD">
        <w:rPr>
          <w:i/>
          <w:szCs w:val="24"/>
        </w:rPr>
        <w:t xml:space="preserve"> Henry Brown</w:t>
      </w:r>
      <w:r w:rsidR="00E17480" w:rsidRPr="00233314">
        <w:rPr>
          <w:szCs w:val="24"/>
        </w:rPr>
        <w:t>,</w:t>
      </w:r>
      <w:r w:rsidR="00E17480" w:rsidRPr="003E22BD">
        <w:rPr>
          <w:i/>
          <w:szCs w:val="24"/>
        </w:rPr>
        <w:t xml:space="preserve"> </w:t>
      </w:r>
      <w:proofErr w:type="gramStart"/>
      <w:r w:rsidR="00E17480" w:rsidRPr="003E22BD">
        <w:rPr>
          <w:i/>
          <w:szCs w:val="24"/>
        </w:rPr>
        <w:t>c.r.</w:t>
      </w:r>
      <w:r w:rsidR="00E17480" w:rsidRPr="00922A86">
        <w:rPr>
          <w:szCs w:val="24"/>
        </w:rPr>
        <w:t>,</w:t>
      </w:r>
      <w:proofErr w:type="gramEnd"/>
      <w:r w:rsidR="00CF3BB3" w:rsidRPr="00922A86">
        <w:rPr>
          <w:szCs w:val="24"/>
        </w:rPr>
        <w:t xml:space="preserve"> </w:t>
      </w:r>
      <w:r w:rsidRPr="00922A86">
        <w:rPr>
          <w:szCs w:val="24"/>
        </w:rPr>
        <w:t>pour l</w:t>
      </w:r>
      <w:r w:rsidR="00951CA2">
        <w:rPr>
          <w:szCs w:val="24"/>
        </w:rPr>
        <w:t>’</w:t>
      </w:r>
      <w:r w:rsidRPr="00922A86">
        <w:rPr>
          <w:szCs w:val="24"/>
        </w:rPr>
        <w:t>intimée.</w:t>
      </w:r>
    </w:p>
    <w:p w:rsidR="00C84697" w:rsidRPr="00922A86" w:rsidRDefault="00C87095" w:rsidP="0010710D">
      <w:pPr>
        <w:pStyle w:val="SCCNormalDoubleSpacing"/>
        <w:spacing w:after="480"/>
        <w:rPr>
          <w:szCs w:val="24"/>
        </w:rPr>
      </w:pPr>
      <w:r w:rsidRPr="003E22BD">
        <w:rPr>
          <w:i/>
          <w:szCs w:val="24"/>
        </w:rPr>
        <w:tab/>
      </w:r>
      <w:r w:rsidR="00E17480" w:rsidRPr="00233314">
        <w:rPr>
          <w:szCs w:val="24"/>
        </w:rPr>
        <w:t>Argumentation écrite seulement par</w:t>
      </w:r>
      <w:r w:rsidR="00E17480" w:rsidRPr="003E22BD">
        <w:rPr>
          <w:i/>
          <w:szCs w:val="24"/>
        </w:rPr>
        <w:t xml:space="preserve"> </w:t>
      </w:r>
      <w:r w:rsidR="007907AB" w:rsidRPr="003E22BD">
        <w:rPr>
          <w:i/>
          <w:szCs w:val="24"/>
        </w:rPr>
        <w:t>Casey </w:t>
      </w:r>
      <w:r w:rsidRPr="003E22BD">
        <w:rPr>
          <w:i/>
          <w:szCs w:val="24"/>
        </w:rPr>
        <w:t xml:space="preserve">M. </w:t>
      </w:r>
      <w:proofErr w:type="spellStart"/>
      <w:r w:rsidRPr="003E22BD">
        <w:rPr>
          <w:i/>
          <w:szCs w:val="24"/>
        </w:rPr>
        <w:t>Chisick</w:t>
      </w:r>
      <w:proofErr w:type="spellEnd"/>
      <w:r w:rsidRPr="00922A86">
        <w:rPr>
          <w:szCs w:val="24"/>
        </w:rPr>
        <w:t xml:space="preserve">, </w:t>
      </w:r>
      <w:r w:rsidRPr="003E22BD">
        <w:rPr>
          <w:i/>
          <w:szCs w:val="24"/>
        </w:rPr>
        <w:t xml:space="preserve">Timothy </w:t>
      </w:r>
      <w:proofErr w:type="spellStart"/>
      <w:r w:rsidRPr="003E22BD">
        <w:rPr>
          <w:i/>
          <w:szCs w:val="24"/>
        </w:rPr>
        <w:t>Pinos</w:t>
      </w:r>
      <w:proofErr w:type="spellEnd"/>
      <w:r w:rsidRPr="00922A86">
        <w:rPr>
          <w:szCs w:val="24"/>
        </w:rPr>
        <w:t xml:space="preserve"> et </w:t>
      </w:r>
      <w:r w:rsidRPr="003E22BD">
        <w:rPr>
          <w:i/>
          <w:szCs w:val="24"/>
        </w:rPr>
        <w:t xml:space="preserve">Jason </w:t>
      </w:r>
      <w:proofErr w:type="spellStart"/>
      <w:r w:rsidRPr="003E22BD">
        <w:rPr>
          <w:i/>
          <w:szCs w:val="24"/>
        </w:rPr>
        <w:t>Beitchman</w:t>
      </w:r>
      <w:proofErr w:type="spellEnd"/>
      <w:r w:rsidR="00CF3BB3" w:rsidRPr="00922A86">
        <w:rPr>
          <w:szCs w:val="24"/>
        </w:rPr>
        <w:t>, pour l</w:t>
      </w:r>
      <w:r w:rsidR="00951CA2">
        <w:rPr>
          <w:szCs w:val="24"/>
        </w:rPr>
        <w:t>’</w:t>
      </w:r>
      <w:r w:rsidRPr="00922A86">
        <w:rPr>
          <w:szCs w:val="24"/>
        </w:rPr>
        <w:t>intervenante CMRRA</w:t>
      </w:r>
      <w:r w:rsidR="0044411B">
        <w:rPr>
          <w:szCs w:val="24"/>
        </w:rPr>
        <w:t>-</w:t>
      </w:r>
      <w:r w:rsidRPr="00922A86">
        <w:rPr>
          <w:szCs w:val="24"/>
        </w:rPr>
        <w:t>SODRAC Inc.</w:t>
      </w:r>
    </w:p>
    <w:p w:rsidR="00C84697" w:rsidRPr="00922A86" w:rsidRDefault="00C87095" w:rsidP="0010710D">
      <w:pPr>
        <w:pStyle w:val="SCCNormalDoubleSpacing"/>
        <w:spacing w:after="480"/>
        <w:rPr>
          <w:szCs w:val="24"/>
        </w:rPr>
      </w:pPr>
      <w:r w:rsidRPr="003E22BD">
        <w:rPr>
          <w:i/>
          <w:szCs w:val="24"/>
        </w:rPr>
        <w:tab/>
      </w:r>
      <w:r w:rsidR="00E17480" w:rsidRPr="00233314">
        <w:rPr>
          <w:szCs w:val="24"/>
        </w:rPr>
        <w:t>Argumentation écrite seulement par</w:t>
      </w:r>
      <w:r w:rsidR="00E17480" w:rsidRPr="003E22BD">
        <w:rPr>
          <w:i/>
          <w:szCs w:val="24"/>
        </w:rPr>
        <w:t xml:space="preserve"> </w:t>
      </w:r>
      <w:r w:rsidR="00CF3BB3" w:rsidRPr="003E22BD">
        <w:rPr>
          <w:i/>
          <w:szCs w:val="24"/>
        </w:rPr>
        <w:t xml:space="preserve">Jeremy de </w:t>
      </w:r>
      <w:proofErr w:type="spellStart"/>
      <w:r w:rsidR="00CF3BB3" w:rsidRPr="003E22BD">
        <w:rPr>
          <w:i/>
          <w:szCs w:val="24"/>
        </w:rPr>
        <w:t>Beer</w:t>
      </w:r>
      <w:proofErr w:type="spellEnd"/>
      <w:r w:rsidR="00CF3BB3" w:rsidRPr="003E22BD">
        <w:rPr>
          <w:i/>
          <w:szCs w:val="24"/>
        </w:rPr>
        <w:t xml:space="preserve"> </w:t>
      </w:r>
      <w:r w:rsidR="00CF3BB3" w:rsidRPr="00922A86">
        <w:rPr>
          <w:szCs w:val="24"/>
        </w:rPr>
        <w:t>et</w:t>
      </w:r>
      <w:r w:rsidR="00CF3BB3" w:rsidRPr="003E22BD">
        <w:rPr>
          <w:i/>
          <w:szCs w:val="24"/>
        </w:rPr>
        <w:t xml:space="preserve"> </w:t>
      </w:r>
      <w:r w:rsidRPr="003E22BD">
        <w:rPr>
          <w:i/>
          <w:szCs w:val="24"/>
        </w:rPr>
        <w:t xml:space="preserve">David </w:t>
      </w:r>
      <w:proofErr w:type="spellStart"/>
      <w:r w:rsidRPr="003E22BD">
        <w:rPr>
          <w:i/>
          <w:szCs w:val="24"/>
        </w:rPr>
        <w:t>Fewer</w:t>
      </w:r>
      <w:proofErr w:type="spellEnd"/>
      <w:r w:rsidRPr="00922A86">
        <w:rPr>
          <w:szCs w:val="24"/>
        </w:rPr>
        <w:t>, pour l</w:t>
      </w:r>
      <w:r w:rsidR="00951CA2">
        <w:rPr>
          <w:szCs w:val="24"/>
        </w:rPr>
        <w:t>’</w:t>
      </w:r>
      <w:r w:rsidRPr="00922A86">
        <w:rPr>
          <w:szCs w:val="24"/>
        </w:rPr>
        <w:t xml:space="preserve">intervenante </w:t>
      </w:r>
      <w:r w:rsidR="00CF3BB3" w:rsidRPr="00922A86">
        <w:rPr>
          <w:szCs w:val="24"/>
        </w:rPr>
        <w:t xml:space="preserve">la </w:t>
      </w:r>
      <w:r w:rsidRPr="00922A86">
        <w:rPr>
          <w:szCs w:val="24"/>
        </w:rPr>
        <w:t>Clinique d</w:t>
      </w:r>
      <w:r w:rsidR="00951CA2">
        <w:rPr>
          <w:szCs w:val="24"/>
        </w:rPr>
        <w:t>’</w:t>
      </w:r>
      <w:r w:rsidRPr="00922A86">
        <w:rPr>
          <w:szCs w:val="24"/>
        </w:rPr>
        <w:t>in</w:t>
      </w:r>
      <w:r w:rsidR="00CF3BB3" w:rsidRPr="00922A86">
        <w:rPr>
          <w:szCs w:val="24"/>
        </w:rPr>
        <w:t>térêt public et de politique d</w:t>
      </w:r>
      <w:r w:rsidR="00951CA2">
        <w:rPr>
          <w:szCs w:val="24"/>
        </w:rPr>
        <w:t>’</w:t>
      </w:r>
      <w:r w:rsidR="00E17480" w:rsidRPr="00922A86">
        <w:rPr>
          <w:szCs w:val="24"/>
        </w:rPr>
        <w:t>i</w:t>
      </w:r>
      <w:r w:rsidRPr="00922A86">
        <w:rPr>
          <w:szCs w:val="24"/>
        </w:rPr>
        <w:t>nternet du Canada Samuelson</w:t>
      </w:r>
      <w:r w:rsidR="002F38C1">
        <w:rPr>
          <w:szCs w:val="24"/>
        </w:rPr>
        <w:t>-</w:t>
      </w:r>
      <w:proofErr w:type="spellStart"/>
      <w:r w:rsidRPr="00922A86">
        <w:rPr>
          <w:szCs w:val="24"/>
        </w:rPr>
        <w:t>Glushko</w:t>
      </w:r>
      <w:proofErr w:type="spellEnd"/>
      <w:r w:rsidRPr="00922A86">
        <w:rPr>
          <w:szCs w:val="24"/>
        </w:rPr>
        <w:t>.</w:t>
      </w:r>
    </w:p>
    <w:p w:rsidR="00C84697" w:rsidRPr="00922A86" w:rsidRDefault="00C87095" w:rsidP="0010710D">
      <w:pPr>
        <w:pStyle w:val="SCCNormalDoubleSpacing"/>
        <w:spacing w:after="480"/>
        <w:rPr>
          <w:szCs w:val="24"/>
        </w:rPr>
      </w:pPr>
      <w:r w:rsidRPr="003E22BD">
        <w:rPr>
          <w:i/>
          <w:szCs w:val="24"/>
        </w:rPr>
        <w:tab/>
      </w:r>
      <w:r w:rsidR="00CF3BB3" w:rsidRPr="00233314">
        <w:rPr>
          <w:szCs w:val="24"/>
        </w:rPr>
        <w:t>Argumentation écrite seulement par</w:t>
      </w:r>
      <w:r w:rsidR="00CF3BB3" w:rsidRPr="003E22BD">
        <w:rPr>
          <w:i/>
          <w:szCs w:val="24"/>
        </w:rPr>
        <w:t xml:space="preserve"> </w:t>
      </w:r>
      <w:r w:rsidRPr="003E22BD">
        <w:rPr>
          <w:i/>
          <w:szCs w:val="24"/>
        </w:rPr>
        <w:t>Tim Gilbert</w:t>
      </w:r>
      <w:r w:rsidRPr="00922A86">
        <w:rPr>
          <w:szCs w:val="24"/>
        </w:rPr>
        <w:t xml:space="preserve">, </w:t>
      </w:r>
      <w:r w:rsidRPr="003E22BD">
        <w:rPr>
          <w:i/>
          <w:szCs w:val="24"/>
        </w:rPr>
        <w:t xml:space="preserve">Sana </w:t>
      </w:r>
      <w:proofErr w:type="spellStart"/>
      <w:r w:rsidRPr="003E22BD">
        <w:rPr>
          <w:i/>
          <w:szCs w:val="24"/>
        </w:rPr>
        <w:t>Halwani</w:t>
      </w:r>
      <w:proofErr w:type="spellEnd"/>
      <w:r w:rsidRPr="00922A86">
        <w:rPr>
          <w:szCs w:val="24"/>
        </w:rPr>
        <w:t xml:space="preserve"> et </w:t>
      </w:r>
      <w:proofErr w:type="spellStart"/>
      <w:r w:rsidRPr="003E22BD">
        <w:rPr>
          <w:i/>
          <w:szCs w:val="24"/>
        </w:rPr>
        <w:t>Sundeep</w:t>
      </w:r>
      <w:proofErr w:type="spellEnd"/>
      <w:r w:rsidRPr="003E22BD">
        <w:rPr>
          <w:i/>
          <w:szCs w:val="24"/>
        </w:rPr>
        <w:t xml:space="preserve"> Chauhan</w:t>
      </w:r>
      <w:r w:rsidR="00CF3BB3" w:rsidRPr="00922A86">
        <w:rPr>
          <w:szCs w:val="24"/>
        </w:rPr>
        <w:t>, pour l</w:t>
      </w:r>
      <w:r w:rsidR="00951CA2">
        <w:rPr>
          <w:szCs w:val="24"/>
        </w:rPr>
        <w:t>’</w:t>
      </w:r>
      <w:r w:rsidRPr="00922A86">
        <w:rPr>
          <w:szCs w:val="24"/>
        </w:rPr>
        <w:t xml:space="preserve">intervenante </w:t>
      </w:r>
      <w:proofErr w:type="spellStart"/>
      <w:r w:rsidRPr="00922A86">
        <w:rPr>
          <w:szCs w:val="24"/>
        </w:rPr>
        <w:t>Cineplex</w:t>
      </w:r>
      <w:proofErr w:type="spellEnd"/>
      <w:r w:rsidRPr="00922A86">
        <w:rPr>
          <w:szCs w:val="24"/>
        </w:rPr>
        <w:t xml:space="preserve"> </w:t>
      </w:r>
      <w:r w:rsidR="002D013B" w:rsidRPr="00922A86">
        <w:rPr>
          <w:szCs w:val="24"/>
        </w:rPr>
        <w:t>Divertisse</w:t>
      </w:r>
      <w:r w:rsidRPr="00922A86">
        <w:rPr>
          <w:szCs w:val="24"/>
        </w:rPr>
        <w:t>ment LP.</w:t>
      </w:r>
    </w:p>
    <w:p w:rsidR="00B77AA4" w:rsidRDefault="0044411B" w:rsidP="002F38C1">
      <w:pPr>
        <w:pStyle w:val="SCCNormalDoubleSpacing"/>
        <w:spacing w:after="480"/>
      </w:pPr>
      <w:r>
        <w:tab/>
      </w:r>
      <w:r w:rsidRPr="0044411B">
        <w:t>Ver</w:t>
      </w:r>
      <w:r>
        <w:t xml:space="preserve">sion </w:t>
      </w:r>
      <w:r w:rsidRPr="002F38C1">
        <w:rPr>
          <w:szCs w:val="24"/>
        </w:rPr>
        <w:t>française</w:t>
      </w:r>
      <w:r>
        <w:t xml:space="preserve"> du jugement de la juge en chef </w:t>
      </w:r>
      <w:proofErr w:type="spellStart"/>
      <w:r>
        <w:t>McLachlin</w:t>
      </w:r>
      <w:proofErr w:type="spellEnd"/>
      <w:r>
        <w:t xml:space="preserve"> et</w:t>
      </w:r>
      <w:r w:rsidR="00220E17">
        <w:t xml:space="preserve"> des</w:t>
      </w:r>
      <w:r>
        <w:t xml:space="preserve"> juges Deschamps, Abella</w:t>
      </w:r>
      <w:r w:rsidR="00860958">
        <w:t>,</w:t>
      </w:r>
      <w:r>
        <w:t xml:space="preserve"> </w:t>
      </w:r>
      <w:proofErr w:type="spellStart"/>
      <w:r>
        <w:t>Moldaver</w:t>
      </w:r>
      <w:proofErr w:type="spellEnd"/>
      <w:r>
        <w:t xml:space="preserve"> et </w:t>
      </w:r>
      <w:proofErr w:type="spellStart"/>
      <w:r>
        <w:t>Karakatsanis</w:t>
      </w:r>
      <w:proofErr w:type="spellEnd"/>
      <w:r>
        <w:t xml:space="preserve"> rendu par</w:t>
      </w:r>
    </w:p>
    <w:p w:rsidR="00B77AA4" w:rsidRPr="00BA79FC" w:rsidRDefault="0044411B" w:rsidP="00B77AA4">
      <w:pPr>
        <w:pStyle w:val="ParaNoNdepar-AltN"/>
        <w:tabs>
          <w:tab w:val="clear" w:pos="1152"/>
          <w:tab w:val="left" w:pos="1166"/>
        </w:tabs>
        <w:rPr>
          <w:lang w:val="fr-CA"/>
        </w:rPr>
      </w:pPr>
      <w:r w:rsidRPr="0044411B">
        <w:rPr>
          <w:smallCaps/>
          <w:lang w:val="fr-CA"/>
        </w:rPr>
        <w:t xml:space="preserve">Les juges Abella et </w:t>
      </w:r>
      <w:proofErr w:type="spellStart"/>
      <w:r w:rsidRPr="0044411B">
        <w:rPr>
          <w:smallCaps/>
          <w:lang w:val="fr-CA"/>
        </w:rPr>
        <w:t>Moldaver</w:t>
      </w:r>
      <w:proofErr w:type="spellEnd"/>
      <w:r w:rsidRPr="0044411B">
        <w:rPr>
          <w:lang w:val="fr-CA"/>
        </w:rPr>
        <w:t xml:space="preserve"> —</w:t>
      </w:r>
      <w:r w:rsidR="00D80162">
        <w:rPr>
          <w:lang w:val="fr-CA"/>
        </w:rPr>
        <w:t xml:space="preserve"> </w:t>
      </w:r>
      <w:r w:rsidR="00B77AA4" w:rsidRPr="00BA79FC">
        <w:rPr>
          <w:lang w:val="fr-CA"/>
        </w:rPr>
        <w:t xml:space="preserve">Dans le secteur de l’édition de jeux vidéo, les redevances de reproduction pour toute œuvre musicale qui est intégrée à un jeu sont actuellement négociées avant l’emballage et la vente au public.  Une fois ces droits négociés, le titulaire du droit d’auteur sur l’œuvre musicale ne peut plus prétendre à des droits supplémentaires lors de la vente du jeu.  La question qui se pose en l’espèce est celle de savoir si les droits renaissent néanmoins lorsque l’œuvre </w:t>
      </w:r>
      <w:r w:rsidR="00B77AA4" w:rsidRPr="00BA79FC">
        <w:rPr>
          <w:lang w:val="fr-CA"/>
        </w:rPr>
        <w:lastRenderedPageBreak/>
        <w:t>est vendue sur Internet plutôt qu’en magasin.  À notre avis, il serait illogique de faire une distinction entre les deux modes de vente d’une même œuvre.</w:t>
      </w:r>
    </w:p>
    <w:p w:rsidR="00B77AA4" w:rsidRPr="00BA79FC" w:rsidRDefault="00B77AA4" w:rsidP="00B77AA4">
      <w:pPr>
        <w:pStyle w:val="ParaNoNdepar-AltN"/>
        <w:tabs>
          <w:tab w:val="clear" w:pos="1152"/>
          <w:tab w:val="left" w:pos="1166"/>
        </w:tabs>
        <w:rPr>
          <w:lang w:val="fr-CA"/>
        </w:rPr>
      </w:pPr>
      <w:r w:rsidRPr="00BA79FC">
        <w:rPr>
          <w:lang w:val="fr-CA"/>
        </w:rPr>
        <w:t>La Commission du droit d’auteur conclut que la vente sur Internet d’un jeu vidéo contenant une œuvre musicale dont les redevances ont déjà été négociées avec le titulaire du droit d’auteur emporte néanmoins l’exigibilité d’une nouvelle redevance (</w:t>
      </w:r>
      <w:r w:rsidR="00376D30">
        <w:rPr>
          <w:lang w:val="fr-CA"/>
        </w:rPr>
        <w:t>en ligne</w:t>
      </w:r>
      <w:r w:rsidRPr="00BA79FC">
        <w:rPr>
          <w:lang w:val="fr-CA"/>
        </w:rPr>
        <w:t xml:space="preserve">).  La Cour d’appel fédérale confirme sa décision (2010 CAF 221, 406 N.R. 288).  À notre humble avis, la Commission interprète mal les dispositions en cause de la </w:t>
      </w:r>
      <w:r w:rsidRPr="00BA79FC">
        <w:rPr>
          <w:i/>
          <w:lang w:val="fr-CA"/>
        </w:rPr>
        <w:t>Loi sur le droit d’auteur</w:t>
      </w:r>
      <w:r w:rsidR="002F38C1">
        <w:rPr>
          <w:lang w:val="fr-CA"/>
        </w:rPr>
        <w:t>, L.R.C. 1985, ch. C</w:t>
      </w:r>
      <w:r w:rsidR="00060D1F">
        <w:rPr>
          <w:lang w:val="fr-CA"/>
        </w:rPr>
        <w:t>-</w:t>
      </w:r>
      <w:r w:rsidRPr="00BA79FC">
        <w:rPr>
          <w:lang w:val="fr-CA"/>
        </w:rPr>
        <w:t>42, et elle fait abstraction de décennies d’évolution législative.  Sa décision va à l’encontre du principe de la neutralité technologique voulant que la Loi s’applique uniformément malgré la diversité technologique des supports.</w:t>
      </w:r>
    </w:p>
    <w:p w:rsidR="00B77AA4" w:rsidRPr="00BA79FC" w:rsidRDefault="00B77AA4" w:rsidP="00B77AA4">
      <w:pPr>
        <w:pStyle w:val="TitleTitre-AltT"/>
        <w:rPr>
          <w:b/>
          <w:lang w:val="fr-CA"/>
        </w:rPr>
      </w:pPr>
      <w:r w:rsidRPr="00BA79FC">
        <w:rPr>
          <w:b/>
          <w:lang w:val="fr-CA"/>
        </w:rPr>
        <w:t>Analyse</w:t>
      </w:r>
    </w:p>
    <w:p w:rsidR="00B77AA4" w:rsidRPr="00BA79FC" w:rsidRDefault="00B77AA4" w:rsidP="00B77AA4">
      <w:pPr>
        <w:pStyle w:val="ParaNoNdepar-AltN"/>
        <w:tabs>
          <w:tab w:val="clear" w:pos="1152"/>
          <w:tab w:val="left" w:pos="1166"/>
        </w:tabs>
        <w:rPr>
          <w:lang w:val="fr-CA"/>
        </w:rPr>
      </w:pPr>
      <w:r w:rsidRPr="00BA79FC">
        <w:rPr>
          <w:lang w:val="fr-CA"/>
        </w:rPr>
        <w:t>Le présent pourvoi porte sur l’application de l’al. 3(1)</w:t>
      </w:r>
      <w:r w:rsidRPr="00BA79FC">
        <w:rPr>
          <w:i/>
          <w:lang w:val="fr-CA"/>
        </w:rPr>
        <w:t>f</w:t>
      </w:r>
      <w:r w:rsidRPr="00BA79FC">
        <w:rPr>
          <w:lang w:val="fr-CA"/>
        </w:rPr>
        <w:t xml:space="preserve">) de la </w:t>
      </w:r>
      <w:r w:rsidRPr="00BA79FC">
        <w:rPr>
          <w:i/>
          <w:lang w:val="fr-CA"/>
        </w:rPr>
        <w:t>Loi sur le droit d’auteur</w:t>
      </w:r>
      <w:r w:rsidRPr="00BA79FC">
        <w:rPr>
          <w:lang w:val="fr-CA"/>
        </w:rPr>
        <w:t>, qui confère au titulaire du dr</w:t>
      </w:r>
      <w:r w:rsidR="00220E17">
        <w:rPr>
          <w:lang w:val="fr-CA"/>
        </w:rPr>
        <w:t>oit d’auteur le droit exclusif</w:t>
      </w:r>
    </w:p>
    <w:p w:rsidR="00B77AA4" w:rsidRPr="00BA79FC" w:rsidRDefault="00B77AA4" w:rsidP="00B77AA4">
      <w:pPr>
        <w:pStyle w:val="Citation-AltC"/>
        <w:ind w:hanging="1166"/>
        <w:rPr>
          <w:rFonts w:eastAsiaTheme="minorEastAsia"/>
          <w:lang w:val="fr-CA"/>
        </w:rPr>
      </w:pPr>
      <w:r w:rsidRPr="00BA79FC">
        <w:rPr>
          <w:rFonts w:eastAsiaTheme="minorEastAsia"/>
          <w:lang w:val="fr-CA"/>
        </w:rPr>
        <w:tab/>
      </w:r>
      <w:proofErr w:type="gramStart"/>
      <w:r w:rsidRPr="00BA79FC">
        <w:rPr>
          <w:rFonts w:eastAsiaTheme="minorEastAsia"/>
          <w:lang w:val="fr-CA"/>
        </w:rPr>
        <w:t>de</w:t>
      </w:r>
      <w:proofErr w:type="gramEnd"/>
      <w:r w:rsidRPr="00BA79FC">
        <w:rPr>
          <w:rFonts w:eastAsiaTheme="minorEastAsia"/>
          <w:lang w:val="fr-CA"/>
        </w:rPr>
        <w:t xml:space="preserve"> </w:t>
      </w:r>
      <w:r w:rsidRPr="00BA79FC">
        <w:rPr>
          <w:rFonts w:eastAsiaTheme="minorEastAsia"/>
          <w:i/>
          <w:lang w:val="fr-CA"/>
        </w:rPr>
        <w:t>communiquer au public, par télécommunication</w:t>
      </w:r>
      <w:r w:rsidRPr="00B66CF9">
        <w:rPr>
          <w:rFonts w:eastAsiaTheme="minorEastAsia"/>
          <w:lang w:val="fr-CA"/>
        </w:rPr>
        <w:t xml:space="preserve">, </w:t>
      </w:r>
      <w:r w:rsidRPr="00BA79FC">
        <w:rPr>
          <w:rFonts w:eastAsiaTheme="minorEastAsia"/>
          <w:lang w:val="fr-CA"/>
        </w:rPr>
        <w:t>une œuvre littéraire, dramatique, musicale ou artistique.</w:t>
      </w:r>
    </w:p>
    <w:p w:rsidR="00B77AA4" w:rsidRPr="00BA79FC" w:rsidRDefault="00B77AA4" w:rsidP="00B77AA4">
      <w:pPr>
        <w:pStyle w:val="ParaNoNdepar-AltN"/>
        <w:tabs>
          <w:tab w:val="clear" w:pos="1152"/>
          <w:tab w:val="left" w:pos="1166"/>
        </w:tabs>
        <w:rPr>
          <w:lang w:val="fr-CA"/>
        </w:rPr>
      </w:pPr>
      <w:r w:rsidRPr="00BA79FC">
        <w:rPr>
          <w:lang w:val="fr-CA"/>
        </w:rPr>
        <w:t>Le litige porte principalement sur le sens du verbe « communiquer » employé à l’al. 3(1)</w:t>
      </w:r>
      <w:r w:rsidRPr="00BA79FC">
        <w:rPr>
          <w:i/>
          <w:lang w:val="fr-CA"/>
        </w:rPr>
        <w:t>f</w:t>
      </w:r>
      <w:r w:rsidRPr="00BA79FC">
        <w:rPr>
          <w:lang w:val="fr-CA"/>
        </w:rPr>
        <w:t xml:space="preserve">), mais non défini dans la </w:t>
      </w:r>
      <w:r w:rsidRPr="007F6BA0">
        <w:rPr>
          <w:i/>
          <w:lang w:val="fr-CA"/>
        </w:rPr>
        <w:t>Loi</w:t>
      </w:r>
      <w:r w:rsidRPr="00BA79FC">
        <w:rPr>
          <w:lang w:val="fr-CA"/>
        </w:rPr>
        <w:t xml:space="preserve">.  Chargée de la gestion du droit de « communiquer » les œuvres pour le compte des titulaires du droit d’auteur, la </w:t>
      </w:r>
      <w:r w:rsidRPr="00BA79FC">
        <w:rPr>
          <w:lang w:val="fr-CA"/>
        </w:rPr>
        <w:lastRenderedPageBreak/>
        <w:t xml:space="preserve">Société canadienne des auteurs, compositeurs et éditeurs de musique (la </w:t>
      </w:r>
      <w:r w:rsidR="00860958">
        <w:rPr>
          <w:lang w:val="fr-CA"/>
        </w:rPr>
        <w:t>SOCAN</w:t>
      </w:r>
      <w:r w:rsidRPr="00BA79FC">
        <w:rPr>
          <w:lang w:val="fr-CA"/>
        </w:rPr>
        <w:t xml:space="preserve">) a demandé à la Commission, en application de cette disposition, l’homologation d’un tarif pour le téléchargement d’œuvres musicales sur Internet.  Au nom d’une large coalition d’éditeurs et de distributeurs de jeux vidéo, Entertainment Software Association </w:t>
      </w:r>
      <w:r>
        <w:rPr>
          <w:lang w:val="fr-CA"/>
        </w:rPr>
        <w:t xml:space="preserve">et l’Association canadienne du logiciel de divertissement </w:t>
      </w:r>
      <w:r w:rsidRPr="00BA79FC">
        <w:rPr>
          <w:lang w:val="fr-CA"/>
        </w:rPr>
        <w:t>(</w:t>
      </w:r>
      <w:r>
        <w:rPr>
          <w:lang w:val="fr-CA"/>
        </w:rPr>
        <w:t xml:space="preserve">collectivement, </w:t>
      </w:r>
      <w:r w:rsidRPr="00BA79FC">
        <w:rPr>
          <w:lang w:val="fr-CA"/>
        </w:rPr>
        <w:t>ESA) s</w:t>
      </w:r>
      <w:r>
        <w:rPr>
          <w:lang w:val="fr-CA"/>
        </w:rPr>
        <w:t>e son</w:t>
      </w:r>
      <w:r w:rsidRPr="00BA79FC">
        <w:rPr>
          <w:lang w:val="fr-CA"/>
        </w:rPr>
        <w:t>t opposée</w:t>
      </w:r>
      <w:r>
        <w:rPr>
          <w:lang w:val="fr-CA"/>
        </w:rPr>
        <w:t>s</w:t>
      </w:r>
      <w:r w:rsidRPr="00BA79FC">
        <w:rPr>
          <w:lang w:val="fr-CA"/>
        </w:rPr>
        <w:t xml:space="preserve"> au tarif en faisant valoir que « télécharger » un jeu vidéo contenant une œuvre musicale n’équivalait pas à « communiquer » ce jeu au public par télécommunication aux fins de l’al. 3(1)</w:t>
      </w:r>
      <w:r w:rsidRPr="00BA79FC">
        <w:rPr>
          <w:i/>
          <w:lang w:val="fr-CA"/>
        </w:rPr>
        <w:t>f</w:t>
      </w:r>
      <w:r w:rsidRPr="00BA79FC">
        <w:rPr>
          <w:lang w:val="fr-CA"/>
        </w:rPr>
        <w:t xml:space="preserve">).  En fait, le « téléchargement » ne constitue qu’un mode supplémentaire et plus efficace de distribuer des exemplaires d’un jeu à la clientèle.  La copie téléchargée est identique à l’exemplaire acheté en magasin ou expédié au client par la poste, et les éditeurs de jeux versent déjà aux titulaires du droit d’auteur des redevances pour </w:t>
      </w:r>
      <w:r w:rsidRPr="00BA79FC">
        <w:rPr>
          <w:i/>
          <w:lang w:val="fr-CA"/>
        </w:rPr>
        <w:t>l’ensemble</w:t>
      </w:r>
      <w:r w:rsidRPr="00BA79FC">
        <w:rPr>
          <w:lang w:val="fr-CA"/>
        </w:rPr>
        <w:t xml:space="preserve"> de ces activités de reproduction.</w:t>
      </w:r>
    </w:p>
    <w:p w:rsidR="00B77AA4" w:rsidRPr="00BA79FC" w:rsidRDefault="00B77AA4" w:rsidP="00B77AA4">
      <w:pPr>
        <w:pStyle w:val="ParaNoNdepar-AltN"/>
        <w:tabs>
          <w:tab w:val="clear" w:pos="1152"/>
          <w:tab w:val="left" w:pos="1166"/>
        </w:tabs>
        <w:rPr>
          <w:lang w:val="fr-CA"/>
        </w:rPr>
      </w:pPr>
      <w:r w:rsidRPr="00BA79FC">
        <w:rPr>
          <w:lang w:val="fr-CA"/>
        </w:rPr>
        <w:t xml:space="preserve">Nous sommes d’accord avec ESA.  À notre avis, la conclusion de la Commission selon laquelle un tarif distinct s’applique au téléchargement pour la « communication » d’une œuvre musicale va à l’encontre du principe de la neutralité technologique, à savoir </w:t>
      </w:r>
      <w:r w:rsidRPr="00BA79FC">
        <w:rPr>
          <w:rFonts w:eastAsia="Times New Roman"/>
          <w:lang w:val="fr-CA"/>
        </w:rPr>
        <w:t xml:space="preserve">que la </w:t>
      </w:r>
      <w:r w:rsidRPr="00BA79FC">
        <w:rPr>
          <w:rFonts w:eastAsia="Times New Roman"/>
          <w:i/>
          <w:lang w:val="fr-CA"/>
        </w:rPr>
        <w:t>Loi sur le droit d’auteur</w:t>
      </w:r>
      <w:r w:rsidRPr="00BA79FC">
        <w:rPr>
          <w:rFonts w:eastAsia="Times New Roman"/>
          <w:lang w:val="fr-CA"/>
        </w:rPr>
        <w:t xml:space="preserve"> s’applique uniformément aux supports traditionnels et aux supports plus avancés sur le plan technologique : </w:t>
      </w:r>
      <w:r w:rsidRPr="00BA79FC">
        <w:rPr>
          <w:i/>
          <w:lang w:val="fr-CA"/>
        </w:rPr>
        <w:t>Robertson c. Thomson Corp.</w:t>
      </w:r>
      <w:r w:rsidRPr="00BA79FC">
        <w:rPr>
          <w:lang w:val="fr-CA"/>
        </w:rPr>
        <w:t>, [2006] 2 R.C.S. 363, par. 49</w:t>
      </w:r>
      <w:r w:rsidRPr="00BA79FC">
        <w:rPr>
          <w:rFonts w:eastAsia="Times New Roman"/>
          <w:lang w:val="fr-CA"/>
        </w:rPr>
        <w:t>.  L</w:t>
      </w:r>
      <w:r w:rsidRPr="00BA79FC">
        <w:rPr>
          <w:lang w:val="fr-CA"/>
        </w:rPr>
        <w:t xml:space="preserve">e paragraphe 3(1) de la </w:t>
      </w:r>
      <w:r w:rsidRPr="00B66CF9">
        <w:rPr>
          <w:i/>
          <w:lang w:val="fr-CA"/>
        </w:rPr>
        <w:t>Loi</w:t>
      </w:r>
      <w:r w:rsidRPr="00BA79FC">
        <w:rPr>
          <w:lang w:val="fr-CA"/>
        </w:rPr>
        <w:t xml:space="preserve"> adhère au principe de la neutralité technologique en reconnaissant un droit de produire ou de reproduire une œuvre « sous une forme matérielle quelconque ».  À notre avis, il n’y a aucune différence d’ordre pratique entre acheter un exemplaire </w:t>
      </w:r>
      <w:r w:rsidRPr="00BA79FC">
        <w:rPr>
          <w:lang w:val="fr-CA"/>
        </w:rPr>
        <w:lastRenderedPageBreak/>
        <w:t>durable de l’œuvre en magasin, recevoir un exemplaire par la poste ou télécharger une copie identique sur le Web.  Internet ne représente qu’un taxi technologique assurant la livraison d’une copie durable de la même œuvre à l’utilisateur.</w:t>
      </w:r>
    </w:p>
    <w:p w:rsidR="00B77AA4" w:rsidRPr="00BA79FC" w:rsidRDefault="00B77AA4" w:rsidP="00B77AA4">
      <w:pPr>
        <w:pStyle w:val="ParaNoNdepar-AltN"/>
        <w:rPr>
          <w:lang w:val="fr-CA"/>
        </w:rPr>
      </w:pPr>
      <w:r w:rsidRPr="00BA79FC">
        <w:rPr>
          <w:lang w:val="fr-CA"/>
        </w:rPr>
        <w:t xml:space="preserve">David </w:t>
      </w:r>
      <w:proofErr w:type="spellStart"/>
      <w:r w:rsidRPr="00BA79FC">
        <w:rPr>
          <w:lang w:val="fr-CA"/>
        </w:rPr>
        <w:t>Vaver</w:t>
      </w:r>
      <w:proofErr w:type="spellEnd"/>
      <w:r w:rsidRPr="00BA79FC">
        <w:rPr>
          <w:lang w:val="fr-CA"/>
        </w:rPr>
        <w:t xml:space="preserve"> reprend cette thèse dans son ouvrage intitulé </w:t>
      </w:r>
      <w:proofErr w:type="spellStart"/>
      <w:r w:rsidRPr="00BA79FC">
        <w:rPr>
          <w:i/>
          <w:lang w:val="fr-CA"/>
        </w:rPr>
        <w:t>Intellectual</w:t>
      </w:r>
      <w:proofErr w:type="spellEnd"/>
      <w:r w:rsidRPr="00BA79FC">
        <w:rPr>
          <w:i/>
          <w:lang w:val="fr-CA"/>
        </w:rPr>
        <w:t xml:space="preserve"> </w:t>
      </w:r>
      <w:proofErr w:type="spellStart"/>
      <w:r w:rsidRPr="00BA79FC">
        <w:rPr>
          <w:i/>
          <w:lang w:val="fr-CA"/>
        </w:rPr>
        <w:t>Property</w:t>
      </w:r>
      <w:proofErr w:type="spellEnd"/>
      <w:r w:rsidRPr="00BA79FC">
        <w:rPr>
          <w:i/>
          <w:lang w:val="fr-CA"/>
        </w:rPr>
        <w:t xml:space="preserve"> Law : Copyright, Patents, Trade</w:t>
      </w:r>
      <w:r w:rsidR="002F38C1">
        <w:rPr>
          <w:i/>
          <w:lang w:val="fr-CA"/>
        </w:rPr>
        <w:t>-</w:t>
      </w:r>
      <w:r w:rsidRPr="00BA79FC">
        <w:rPr>
          <w:i/>
          <w:lang w:val="fr-CA"/>
        </w:rPr>
        <w:t>marks</w:t>
      </w:r>
      <w:r w:rsidRPr="00BA79FC">
        <w:rPr>
          <w:lang w:val="fr-CA"/>
        </w:rPr>
        <w:t xml:space="preserve"> (2</w:t>
      </w:r>
      <w:r w:rsidRPr="00BA79FC">
        <w:rPr>
          <w:vertAlign w:val="superscript"/>
          <w:lang w:val="fr-CA"/>
        </w:rPr>
        <w:t>e</w:t>
      </w:r>
      <w:r w:rsidRPr="00BA79FC">
        <w:rPr>
          <w:lang w:val="fr-CA"/>
        </w:rPr>
        <w:t> éd. 2011).  Il semble critiquer la décision de la Commission rendue dans la présente affaire :</w:t>
      </w:r>
    </w:p>
    <w:p w:rsidR="00B77AA4" w:rsidRPr="00BA79FC" w:rsidRDefault="00B77AA4" w:rsidP="00B77AA4">
      <w:pPr>
        <w:pStyle w:val="Citation-AltC"/>
        <w:spacing w:after="240"/>
        <w:ind w:hanging="1166"/>
        <w:contextualSpacing w:val="0"/>
        <w:rPr>
          <w:lang w:val="fr-CA"/>
        </w:rPr>
      </w:pPr>
      <w:r w:rsidRPr="00BA79FC">
        <w:rPr>
          <w:lang w:val="fr-CA"/>
        </w:rPr>
        <w:tab/>
        <w:t>[</w:t>
      </w:r>
      <w:r w:rsidRPr="00BA79FC">
        <w:rPr>
          <w:smallCaps/>
          <w:lang w:val="fr-CA"/>
        </w:rPr>
        <w:t>traduction</w:t>
      </w:r>
      <w:r w:rsidR="002F38C1">
        <w:rPr>
          <w:lang w:val="fr-CA"/>
        </w:rPr>
        <w:t xml:space="preserve">] </w:t>
      </w:r>
      <w:r w:rsidRPr="00BA79FC">
        <w:rPr>
          <w:lang w:val="fr-CA"/>
        </w:rPr>
        <w:t xml:space="preserve">En principe, les </w:t>
      </w:r>
      <w:r w:rsidRPr="00426BB8">
        <w:rPr>
          <w:i/>
          <w:lang w:val="fr-CA"/>
        </w:rPr>
        <w:t xml:space="preserve">autres </w:t>
      </w:r>
      <w:r w:rsidRPr="00BA79FC">
        <w:rPr>
          <w:i/>
          <w:lang w:val="fr-CA"/>
        </w:rPr>
        <w:t>modes</w:t>
      </w:r>
      <w:r w:rsidRPr="00BA79FC">
        <w:rPr>
          <w:lang w:val="fr-CA"/>
        </w:rPr>
        <w:t xml:space="preserve"> </w:t>
      </w:r>
      <w:r w:rsidRPr="00BA79FC">
        <w:rPr>
          <w:i/>
          <w:lang w:val="fr-CA"/>
        </w:rPr>
        <w:t xml:space="preserve">de distribution </w:t>
      </w:r>
      <w:r w:rsidRPr="00BA79FC">
        <w:rPr>
          <w:lang w:val="fr-CA"/>
        </w:rPr>
        <w:t>doivent</w:t>
      </w:r>
      <w:r w:rsidRPr="00BA79FC">
        <w:rPr>
          <w:i/>
          <w:lang w:val="fr-CA"/>
        </w:rPr>
        <w:t xml:space="preserve"> </w:t>
      </w:r>
      <w:r w:rsidRPr="00BA79FC">
        <w:rPr>
          <w:lang w:val="fr-CA"/>
        </w:rPr>
        <w:t>rivaliser en fonction de leurs avantages respectifs : les deux doivent payer ou aucun ne le doit.  La législation sur le droit d’auteur doit tendre à la neutralité technologique.</w:t>
      </w:r>
    </w:p>
    <w:p w:rsidR="00B77AA4" w:rsidRPr="00BA79FC" w:rsidRDefault="00B77AA4" w:rsidP="00B77AA4">
      <w:pPr>
        <w:pStyle w:val="Citation-AltC"/>
        <w:spacing w:after="240"/>
        <w:ind w:left="1168"/>
        <w:contextualSpacing w:val="0"/>
        <w:jc w:val="center"/>
        <w:rPr>
          <w:lang w:val="fr-CA"/>
        </w:rPr>
      </w:pPr>
      <w:r w:rsidRPr="00BA79FC">
        <w:rPr>
          <w:lang w:val="fr-CA"/>
        </w:rPr>
        <w:t>. . .</w:t>
      </w:r>
    </w:p>
    <w:p w:rsidR="00B77AA4" w:rsidRPr="00BA79FC" w:rsidRDefault="00B77AA4" w:rsidP="00860958">
      <w:pPr>
        <w:pStyle w:val="Citation-AltC"/>
        <w:tabs>
          <w:tab w:val="left" w:pos="1620"/>
        </w:tabs>
        <w:ind w:hanging="1166"/>
        <w:rPr>
          <w:lang w:val="fr-CA"/>
        </w:rPr>
      </w:pPr>
      <w:r w:rsidRPr="00BA79FC">
        <w:rPr>
          <w:lang w:val="fr-CA"/>
        </w:rPr>
        <w:tab/>
      </w:r>
      <w:r w:rsidR="00860958">
        <w:rPr>
          <w:lang w:val="fr-CA"/>
        </w:rPr>
        <w:tab/>
      </w:r>
      <w:r w:rsidRPr="00BA79FC">
        <w:rPr>
          <w:lang w:val="fr-CA"/>
        </w:rPr>
        <w:t xml:space="preserve">Auparavant, lorsqu’un client achetait un enregistrement sonore ou un jeu vidéo en personne dans un magasin ou qu’il le commandait par la poste, le titulaire du droit d’auteur n’y voyait aucune différence : il ne touchait aucun supplément pour la remise au client de l’exemplaire par le commis ou le messager.  Aujourd’hui, en raison du droit de télécommunication, </w:t>
      </w:r>
      <w:r w:rsidRPr="00BA79FC">
        <w:rPr>
          <w:i/>
          <w:lang w:val="fr-CA"/>
        </w:rPr>
        <w:t>le titulaire du droit d’auteur peut exiger et exige effectivement un supplément pour la distribution électronique d’un même contenu acquis sur le Web</w:t>
      </w:r>
      <w:r w:rsidR="00220E17">
        <w:rPr>
          <w:lang w:val="fr-CA"/>
        </w:rPr>
        <w:t>.  [Italiques ajoutés; p. 172-</w:t>
      </w:r>
      <w:r w:rsidRPr="00BA79FC">
        <w:rPr>
          <w:lang w:val="fr-CA"/>
        </w:rPr>
        <w:t>173.]</w:t>
      </w:r>
    </w:p>
    <w:p w:rsidR="00B77AA4" w:rsidRPr="00BA79FC" w:rsidRDefault="00B77AA4" w:rsidP="00B77AA4">
      <w:pPr>
        <w:pStyle w:val="ParaNoNdepar-AltN"/>
        <w:rPr>
          <w:lang w:val="fr-CA"/>
        </w:rPr>
      </w:pPr>
      <w:r w:rsidRPr="00BA79FC">
        <w:rPr>
          <w:lang w:val="fr-CA"/>
        </w:rPr>
        <w:t xml:space="preserve">De plus, la thèse d’ESA se concilie avec la mise en garde de notre Cour dans l’arrêt </w:t>
      </w:r>
      <w:proofErr w:type="spellStart"/>
      <w:r w:rsidRPr="00BA79FC">
        <w:rPr>
          <w:i/>
          <w:lang w:val="fr-CA"/>
        </w:rPr>
        <w:t>Théberge</w:t>
      </w:r>
      <w:proofErr w:type="spellEnd"/>
      <w:r w:rsidRPr="00BA79FC">
        <w:rPr>
          <w:i/>
          <w:lang w:val="fr-CA"/>
        </w:rPr>
        <w:t xml:space="preserve"> c. Galerie d’Art du Petit Champlain </w:t>
      </w:r>
      <w:proofErr w:type="spellStart"/>
      <w:r w:rsidRPr="00BA79FC">
        <w:rPr>
          <w:i/>
          <w:lang w:val="fr-CA"/>
        </w:rPr>
        <w:t>inc</w:t>
      </w:r>
      <w:proofErr w:type="spellEnd"/>
      <w:r w:rsidRPr="00BA79FC">
        <w:rPr>
          <w:i/>
          <w:lang w:val="fr-CA"/>
        </w:rPr>
        <w:t>.</w:t>
      </w:r>
      <w:r w:rsidR="002F38C1">
        <w:rPr>
          <w:lang w:val="fr-CA"/>
        </w:rPr>
        <w:t>, [2002] 2 R.C.S. 336, c’est-à-</w:t>
      </w:r>
      <w:r w:rsidRPr="00BA79FC">
        <w:rPr>
          <w:lang w:val="fr-CA"/>
        </w:rPr>
        <w:t>dire que, en matière d’application du droit d’auteur, l’équilibre entre, d’une part, la promotion, dans l’intérêt du public, de la création et de la diffusion des œuvres et, d’autre part, l’obtention d’une juste récompense pour le créateur commande de reconnaître la « nature limitée » des droits du créateur :</w:t>
      </w:r>
    </w:p>
    <w:p w:rsidR="00B77AA4" w:rsidRPr="00BA79FC" w:rsidRDefault="00B77AA4" w:rsidP="00860958">
      <w:pPr>
        <w:pStyle w:val="Citation-AltC"/>
        <w:tabs>
          <w:tab w:val="left" w:pos="1620"/>
        </w:tabs>
        <w:ind w:hanging="1166"/>
        <w:rPr>
          <w:lang w:val="fr-CA"/>
        </w:rPr>
      </w:pPr>
      <w:r w:rsidRPr="00BA79FC">
        <w:rPr>
          <w:lang w:val="fr-CA"/>
        </w:rPr>
        <w:lastRenderedPageBreak/>
        <w:tab/>
      </w:r>
      <w:r w:rsidR="00860958">
        <w:rPr>
          <w:lang w:val="fr-CA"/>
        </w:rPr>
        <w:tab/>
      </w:r>
      <w:r w:rsidRPr="00BA79FC">
        <w:rPr>
          <w:lang w:val="fr-CA"/>
        </w:rPr>
        <w:t xml:space="preserve">On atteint le juste équilibre entre les objectifs de politique générale, dont ceux qui précèdent, non seulement en reconnaissant les droits du créateur, mais aussi en accordant l’importance qu’il convient à la nature limitée de ces droits.  D’un point de vue grossièrement économique, </w:t>
      </w:r>
      <w:r w:rsidRPr="00BA79FC">
        <w:rPr>
          <w:i/>
          <w:lang w:val="fr-CA"/>
        </w:rPr>
        <w:t>il serait tout aussi inefficace de trop rétribuer les artistes et les auteurs pour le droit de reproduction qu’il serait nuisible de ne pas les rétribuer suffisamment</w:t>
      </w:r>
      <w:r w:rsidRPr="00BA79FC">
        <w:rPr>
          <w:lang w:val="fr-CA"/>
        </w:rPr>
        <w:t>.  Une fois qu’une copie autorisée d’une œuvre est vendue à un membre du public, il appartient généralement à l’acheteur, et non à l’auteur, de décider du sort de celle</w:t>
      </w:r>
      <w:r w:rsidR="002F38C1">
        <w:rPr>
          <w:lang w:val="fr-CA"/>
        </w:rPr>
        <w:t>-</w:t>
      </w:r>
      <w:r w:rsidRPr="00BA79FC">
        <w:rPr>
          <w:lang w:val="fr-CA"/>
        </w:rPr>
        <w:t>ci.  [Italiques ajoutés; par. 31.]</w:t>
      </w:r>
    </w:p>
    <w:p w:rsidR="00B77AA4" w:rsidRPr="00BA79FC" w:rsidRDefault="00B77AA4" w:rsidP="00B77AA4">
      <w:pPr>
        <w:pStyle w:val="ParaNoNdepar-AltN"/>
        <w:rPr>
          <w:lang w:val="fr-CA"/>
        </w:rPr>
      </w:pPr>
      <w:r w:rsidRPr="00BA79FC">
        <w:rPr>
          <w:lang w:val="fr-CA"/>
        </w:rPr>
        <w:t>L’équilibre traditionnel entre auteurs et utilisateurs doit être préservé dans le monde numérique : Carys Craig, « </w:t>
      </w:r>
      <w:proofErr w:type="spellStart"/>
      <w:r w:rsidRPr="00BA79FC">
        <w:rPr>
          <w:lang w:val="fr-CA"/>
        </w:rPr>
        <w:t>Locking</w:t>
      </w:r>
      <w:proofErr w:type="spellEnd"/>
      <w:r w:rsidRPr="00BA79FC">
        <w:rPr>
          <w:lang w:val="fr-CA"/>
        </w:rPr>
        <w:t xml:space="preserve"> Out </w:t>
      </w:r>
      <w:proofErr w:type="spellStart"/>
      <w:r w:rsidRPr="00BA79FC">
        <w:rPr>
          <w:lang w:val="fr-CA"/>
        </w:rPr>
        <w:t>Lawful</w:t>
      </w:r>
      <w:proofErr w:type="spellEnd"/>
      <w:r w:rsidRPr="00BA79FC">
        <w:rPr>
          <w:lang w:val="fr-CA"/>
        </w:rPr>
        <w:t xml:space="preserve"> </w:t>
      </w:r>
      <w:proofErr w:type="spellStart"/>
      <w:r w:rsidRPr="00BA79FC">
        <w:rPr>
          <w:lang w:val="fr-CA"/>
        </w:rPr>
        <w:t>Users</w:t>
      </w:r>
      <w:proofErr w:type="spellEnd"/>
      <w:r w:rsidRPr="00BA79FC">
        <w:rPr>
          <w:lang w:val="fr-CA"/>
        </w:rPr>
        <w:t xml:space="preserve"> : </w:t>
      </w:r>
      <w:proofErr w:type="spellStart"/>
      <w:r w:rsidRPr="00BA79FC">
        <w:rPr>
          <w:lang w:val="fr-CA"/>
        </w:rPr>
        <w:t>Fair</w:t>
      </w:r>
      <w:proofErr w:type="spellEnd"/>
      <w:r w:rsidRPr="00BA79FC">
        <w:rPr>
          <w:lang w:val="fr-CA"/>
        </w:rPr>
        <w:t xml:space="preserve"> </w:t>
      </w:r>
      <w:proofErr w:type="spellStart"/>
      <w:r w:rsidRPr="00BA79FC">
        <w:rPr>
          <w:lang w:val="fr-CA"/>
        </w:rPr>
        <w:t>Dealing</w:t>
      </w:r>
      <w:proofErr w:type="spellEnd"/>
      <w:r w:rsidRPr="00BA79FC">
        <w:rPr>
          <w:lang w:val="fr-CA"/>
        </w:rPr>
        <w:t xml:space="preserve"> and Anti</w:t>
      </w:r>
      <w:r w:rsidR="002F38C1">
        <w:rPr>
          <w:lang w:val="fr-CA"/>
        </w:rPr>
        <w:t>-</w:t>
      </w:r>
      <w:proofErr w:type="spellStart"/>
      <w:r w:rsidRPr="00BA79FC">
        <w:rPr>
          <w:lang w:val="fr-CA"/>
        </w:rPr>
        <w:t>Circumvention</w:t>
      </w:r>
      <w:proofErr w:type="spellEnd"/>
      <w:r w:rsidRPr="00BA79FC">
        <w:rPr>
          <w:lang w:val="fr-CA"/>
        </w:rPr>
        <w:t xml:space="preserve"> in Bill C</w:t>
      </w:r>
      <w:r w:rsidR="00060D1F">
        <w:rPr>
          <w:lang w:val="fr-CA"/>
        </w:rPr>
        <w:t>-</w:t>
      </w:r>
      <w:r w:rsidRPr="00BA79FC">
        <w:rPr>
          <w:lang w:val="fr-CA"/>
        </w:rPr>
        <w:t xml:space="preserve">32 », dans Michael </w:t>
      </w:r>
      <w:proofErr w:type="spellStart"/>
      <w:r w:rsidRPr="00BA79FC">
        <w:rPr>
          <w:lang w:val="fr-CA"/>
        </w:rPr>
        <w:t>Geist</w:t>
      </w:r>
      <w:proofErr w:type="spellEnd"/>
      <w:r w:rsidRPr="00BA79FC">
        <w:rPr>
          <w:lang w:val="fr-CA"/>
        </w:rPr>
        <w:t xml:space="preserve">, </w:t>
      </w:r>
      <w:proofErr w:type="spellStart"/>
      <w:proofErr w:type="gramStart"/>
      <w:r w:rsidRPr="00BA79FC">
        <w:rPr>
          <w:lang w:val="fr-CA"/>
        </w:rPr>
        <w:t>dir</w:t>
      </w:r>
      <w:proofErr w:type="spellEnd"/>
      <w:r w:rsidRPr="00BA79FC">
        <w:rPr>
          <w:lang w:val="fr-CA"/>
        </w:rPr>
        <w:t>.,</w:t>
      </w:r>
      <w:proofErr w:type="gramEnd"/>
      <w:r w:rsidRPr="00BA79FC">
        <w:rPr>
          <w:lang w:val="fr-CA"/>
        </w:rPr>
        <w:t xml:space="preserve"> </w:t>
      </w:r>
      <w:proofErr w:type="spellStart"/>
      <w:r w:rsidRPr="00BA79FC">
        <w:rPr>
          <w:i/>
          <w:lang w:val="fr-CA"/>
        </w:rPr>
        <w:t>From</w:t>
      </w:r>
      <w:proofErr w:type="spellEnd"/>
      <w:r w:rsidRPr="00BA79FC">
        <w:rPr>
          <w:i/>
          <w:lang w:val="fr-CA"/>
        </w:rPr>
        <w:t xml:space="preserve"> “Radical </w:t>
      </w:r>
      <w:proofErr w:type="spellStart"/>
      <w:r w:rsidRPr="00BA79FC">
        <w:rPr>
          <w:i/>
          <w:lang w:val="fr-CA"/>
        </w:rPr>
        <w:t>Extremism</w:t>
      </w:r>
      <w:proofErr w:type="spellEnd"/>
      <w:r w:rsidRPr="00BA79FC">
        <w:rPr>
          <w:i/>
          <w:lang w:val="fr-CA"/>
        </w:rPr>
        <w:t>” to “</w:t>
      </w:r>
      <w:proofErr w:type="spellStart"/>
      <w:r w:rsidRPr="00BA79FC">
        <w:rPr>
          <w:i/>
          <w:lang w:val="fr-CA"/>
        </w:rPr>
        <w:t>Balanced</w:t>
      </w:r>
      <w:proofErr w:type="spellEnd"/>
      <w:r w:rsidRPr="00BA79FC">
        <w:rPr>
          <w:i/>
          <w:lang w:val="fr-CA"/>
        </w:rPr>
        <w:t xml:space="preserve"> Copyright” : Canadian Copyright and the Digital Agenda </w:t>
      </w:r>
      <w:r w:rsidRPr="00BA79FC">
        <w:rPr>
          <w:lang w:val="fr-CA"/>
        </w:rPr>
        <w:t>(2010), 177, p. 192.</w:t>
      </w:r>
    </w:p>
    <w:p w:rsidR="00B77AA4" w:rsidRPr="00BA79FC" w:rsidRDefault="00B77AA4" w:rsidP="00B77AA4">
      <w:pPr>
        <w:pStyle w:val="ParaNoNdepar-AltN"/>
        <w:rPr>
          <w:lang w:val="fr-CA"/>
        </w:rPr>
      </w:pPr>
      <w:r w:rsidRPr="00BA79FC">
        <w:rPr>
          <w:lang w:val="fr-CA"/>
        </w:rPr>
        <w:t xml:space="preserve">La SOCAN n’a jamais pu percevoir de redevances pour la copie d’un jeu vidéo sur cartouche ou sur disque achetée en magasin ou obtenue par la poste.  Or, elle soutient que la copie identique d’un jeu vendu et distribué sur Internet donne droit à une redevance </w:t>
      </w:r>
      <w:r w:rsidRPr="00BA79FC">
        <w:rPr>
          <w:i/>
          <w:lang w:val="fr-CA"/>
        </w:rPr>
        <w:t>à la fois</w:t>
      </w:r>
      <w:r w:rsidRPr="00BA79FC">
        <w:rPr>
          <w:lang w:val="fr-CA"/>
        </w:rPr>
        <w:t xml:space="preserve"> pour la reproduction de l’œuvre </w:t>
      </w:r>
      <w:r w:rsidRPr="00BA79FC">
        <w:rPr>
          <w:i/>
          <w:lang w:val="fr-CA"/>
        </w:rPr>
        <w:t>et</w:t>
      </w:r>
      <w:r w:rsidRPr="00BA79FC">
        <w:rPr>
          <w:lang w:val="fr-CA"/>
        </w:rPr>
        <w:t xml:space="preserve"> pour sa communication.  Le principe de la neutralité technologique veut que, sauf intention contraire avérée du législateur, nous interprétions la </w:t>
      </w:r>
      <w:r w:rsidRPr="00BA79FC">
        <w:rPr>
          <w:i/>
          <w:lang w:val="fr-CA"/>
        </w:rPr>
        <w:t>Loi sur le droit d’auteur</w:t>
      </w:r>
      <w:r w:rsidRPr="00BA79FC">
        <w:rPr>
          <w:lang w:val="fr-CA"/>
        </w:rPr>
        <w:t xml:space="preserve"> de manière à ne pas créer un palier supplémentaire de protection et d’exigibilité d’une redevance qui soit uniquement fondé sur le </w:t>
      </w:r>
      <w:r w:rsidRPr="00BA79FC">
        <w:rPr>
          <w:i/>
          <w:lang w:val="fr-CA"/>
        </w:rPr>
        <w:t>mode de livraison</w:t>
      </w:r>
      <w:r w:rsidRPr="00BA79FC">
        <w:rPr>
          <w:lang w:val="fr-CA"/>
        </w:rPr>
        <w:t xml:space="preserve"> de l’œuvre à l’utilisateur.  Toute autre interprétation imposerait en fait un coût injustifié pour l’utilisation de technologies Internet plus efficaces.</w:t>
      </w:r>
    </w:p>
    <w:p w:rsidR="00B77AA4" w:rsidRPr="00BA79FC" w:rsidRDefault="00B77AA4" w:rsidP="00B77AA4">
      <w:pPr>
        <w:pStyle w:val="ParaNoNdepar-AltN"/>
        <w:rPr>
          <w:lang w:val="fr-CA"/>
        </w:rPr>
      </w:pPr>
      <w:r w:rsidRPr="00BA79FC">
        <w:rPr>
          <w:lang w:val="fr-CA"/>
        </w:rPr>
        <w:lastRenderedPageBreak/>
        <w:t xml:space="preserve">L’impair de la Commission ressort de sa définition du « téléchargement » : « fichier contenant des données </w:t>
      </w:r>
      <w:r w:rsidR="00860958">
        <w:rPr>
          <w:lang w:val="fr-CA"/>
        </w:rPr>
        <w:t>[</w:t>
      </w:r>
      <w:r w:rsidRPr="00BA79FC">
        <w:rPr>
          <w:lang w:val="fr-CA"/>
        </w:rPr>
        <w:t>. . .</w:t>
      </w:r>
      <w:r w:rsidR="00860958">
        <w:rPr>
          <w:lang w:val="fr-CA"/>
        </w:rPr>
        <w:t>]</w:t>
      </w:r>
      <w:r w:rsidRPr="00BA79FC">
        <w:rPr>
          <w:lang w:val="fr-CA"/>
        </w:rPr>
        <w:t xml:space="preserve"> que l’usager peut conserver » (par. 13).  La Commission reconnaît que le téléchargement est une activité de </w:t>
      </w:r>
      <w:r w:rsidRPr="00BA79FC">
        <w:rPr>
          <w:i/>
          <w:lang w:val="fr-CA"/>
        </w:rPr>
        <w:t>reproduction</w:t>
      </w:r>
      <w:r w:rsidRPr="00BA79FC">
        <w:rPr>
          <w:lang w:val="fr-CA"/>
        </w:rPr>
        <w:t xml:space="preserve"> qui crée une copie exacte et durable du fichier numérique dans l’ordinateur de l’utilisateur, identique à l’exemplaire acheté en magasin ou par la poste.  Néanmoins, elle conclut que la distribution d’une copie sur Internet emporte l’exigibilité de deux redevances </w:t>
      </w:r>
      <w:r w:rsidRPr="00BA79FC">
        <w:rPr>
          <w:rFonts w:cs="Times New Roman"/>
          <w:lang w:val="fr-CA"/>
        </w:rPr>
        <w:t>—</w:t>
      </w:r>
      <w:r w:rsidRPr="00BA79FC">
        <w:rPr>
          <w:lang w:val="fr-CA"/>
        </w:rPr>
        <w:t xml:space="preserve"> une pour la reproduction et une pour la communication </w:t>
      </w:r>
      <w:r w:rsidRPr="00BA79FC">
        <w:rPr>
          <w:rFonts w:cs="Times New Roman"/>
          <w:lang w:val="fr-CA"/>
        </w:rPr>
        <w:t xml:space="preserve">—, </w:t>
      </w:r>
      <w:r w:rsidRPr="00BA79FC">
        <w:rPr>
          <w:lang w:val="fr-CA"/>
        </w:rPr>
        <w:t>tandis que la distribution d’un exemplaire en magasin ou par la poste emporte le paiement d’une redevance seulement pour la reproduction.  Elle arrive à cette conclusion en méconnaissant le principe de la neutralité technologique.</w:t>
      </w:r>
    </w:p>
    <w:p w:rsidR="00B77AA4" w:rsidRPr="00BA79FC" w:rsidRDefault="00B77AA4" w:rsidP="00B77AA4">
      <w:pPr>
        <w:pStyle w:val="ParaNoNdepar-AltN"/>
        <w:rPr>
          <w:lang w:val="fr-CA"/>
        </w:rPr>
      </w:pPr>
      <w:r w:rsidRPr="00BA79FC">
        <w:rPr>
          <w:lang w:val="fr-CA"/>
        </w:rPr>
        <w:t xml:space="preserve">Le juge </w:t>
      </w:r>
      <w:proofErr w:type="spellStart"/>
      <w:r w:rsidRPr="00BA79FC">
        <w:rPr>
          <w:lang w:val="fr-CA"/>
        </w:rPr>
        <w:t>Rothstein</w:t>
      </w:r>
      <w:proofErr w:type="spellEnd"/>
      <w:r w:rsidRPr="00BA79FC">
        <w:rPr>
          <w:lang w:val="fr-CA"/>
        </w:rPr>
        <w:t xml:space="preserve"> soutient (</w:t>
      </w:r>
      <w:r w:rsidR="00B66CF9">
        <w:rPr>
          <w:lang w:val="fr-CA"/>
        </w:rPr>
        <w:t xml:space="preserve">au </w:t>
      </w:r>
      <w:r w:rsidRPr="00BA79FC">
        <w:rPr>
          <w:lang w:val="fr-CA"/>
        </w:rPr>
        <w:t xml:space="preserve">par. 126) que la Commission du droit d’auteur peut éviter cette « double rémunération » du titulaire du droit d’auteur en rajustant les deux redevances de manière à répartir les « parts du gâteau » entre, d’un côté, les sociétés qui gèrent les droits de reproduction et, de l’autre, celles qui gèrent les droits de communication.  Cependant, cette avenue paraît contraire à l’intention qui a présidé à la création des sociétés de gestion collective à l’origine, le législateur ayant recherché une gestion et une administration efficaces des différents droits d’auteur en application de la </w:t>
      </w:r>
      <w:r w:rsidRPr="00B66CF9">
        <w:rPr>
          <w:i/>
          <w:lang w:val="fr-CA"/>
        </w:rPr>
        <w:t>Loi</w:t>
      </w:r>
      <w:r w:rsidRPr="00BA79FC">
        <w:rPr>
          <w:lang w:val="fr-CA"/>
        </w:rPr>
        <w:t>.  L’inefficacité de cette solution est préjudiciable à la fois aux utilisateurs et aux titulaires du droit d’auteur :</w:t>
      </w:r>
    </w:p>
    <w:p w:rsidR="00B77AA4" w:rsidRPr="00BA79FC" w:rsidRDefault="00B77AA4" w:rsidP="00B77AA4">
      <w:pPr>
        <w:pStyle w:val="Citation-AltC"/>
        <w:spacing w:after="240"/>
        <w:ind w:left="1168" w:hanging="1168"/>
        <w:contextualSpacing w:val="0"/>
        <w:rPr>
          <w:lang w:val="fr-CA"/>
        </w:rPr>
      </w:pPr>
      <w:r w:rsidRPr="00BA79FC">
        <w:rPr>
          <w:lang w:val="fr-CA"/>
        </w:rPr>
        <w:tab/>
        <w:t>[</w:t>
      </w:r>
      <w:r w:rsidRPr="00BA79FC">
        <w:rPr>
          <w:smallCaps/>
          <w:lang w:val="fr-CA"/>
        </w:rPr>
        <w:t>traduction</w:t>
      </w:r>
      <w:r w:rsidRPr="00BA79FC">
        <w:rPr>
          <w:lang w:val="fr-CA"/>
        </w:rPr>
        <w:t xml:space="preserve">]  Lorsque, à elle seule, une activité économique emporte l’application de plus d’un type de droit, chacun étant géré par une société de gestion collective distincte, la multiplicité des licences nécessaires </w:t>
      </w:r>
      <w:r w:rsidRPr="00BA79FC">
        <w:rPr>
          <w:lang w:val="fr-CA"/>
        </w:rPr>
        <w:lastRenderedPageBreak/>
        <w:t>peut entraîner une inefficacité</w:t>
      </w:r>
      <w:r w:rsidR="00860958">
        <w:rPr>
          <w:lang w:val="fr-CA"/>
        </w:rPr>
        <w:t>.</w:t>
      </w:r>
      <w:r w:rsidRPr="00BA79FC">
        <w:rPr>
          <w:lang w:val="fr-CA"/>
        </w:rPr>
        <w:t xml:space="preserve"> </w:t>
      </w:r>
      <w:r w:rsidR="00860958">
        <w:rPr>
          <w:lang w:val="fr-CA"/>
        </w:rPr>
        <w:t>[</w:t>
      </w:r>
      <w:r w:rsidRPr="00BA79FC">
        <w:rPr>
          <w:lang w:val="fr-CA"/>
        </w:rPr>
        <w:t>. . .</w:t>
      </w:r>
      <w:r w:rsidR="00860958">
        <w:rPr>
          <w:lang w:val="fr-CA"/>
        </w:rPr>
        <w:t>]</w:t>
      </w:r>
      <w:r w:rsidRPr="00BA79FC">
        <w:rPr>
          <w:lang w:val="fr-CA"/>
        </w:rPr>
        <w:t xml:space="preserve"> Dès lors, le prix que doit verser l’utilisateur au total est trop </w:t>
      </w:r>
      <w:proofErr w:type="gramStart"/>
      <w:r w:rsidRPr="00BA79FC">
        <w:rPr>
          <w:lang w:val="fr-CA"/>
        </w:rPr>
        <w:t>élevé .</w:t>
      </w:r>
      <w:proofErr w:type="gramEnd"/>
      <w:r w:rsidRPr="00BA79FC">
        <w:rPr>
          <w:lang w:val="fr-CA"/>
        </w:rPr>
        <w:t> . .</w:t>
      </w:r>
    </w:p>
    <w:p w:rsidR="00B77AA4" w:rsidRPr="00BA79FC" w:rsidRDefault="00B77AA4" w:rsidP="00B77AA4">
      <w:pPr>
        <w:pStyle w:val="Citation-AltC"/>
        <w:spacing w:after="240"/>
        <w:ind w:left="1168"/>
        <w:contextualSpacing w:val="0"/>
        <w:jc w:val="center"/>
        <w:rPr>
          <w:lang w:val="fr-CA"/>
        </w:rPr>
      </w:pPr>
      <w:r w:rsidRPr="00BA79FC">
        <w:rPr>
          <w:lang w:val="fr-CA"/>
        </w:rPr>
        <w:t>. . .</w:t>
      </w:r>
    </w:p>
    <w:p w:rsidR="00B77AA4" w:rsidRPr="00BA79FC" w:rsidRDefault="00B77AA4" w:rsidP="00220E17">
      <w:pPr>
        <w:pStyle w:val="Citation-AltC"/>
        <w:tabs>
          <w:tab w:val="left" w:pos="1620"/>
        </w:tabs>
        <w:spacing w:after="240"/>
        <w:ind w:hanging="1166"/>
        <w:contextualSpacing w:val="0"/>
        <w:rPr>
          <w:lang w:val="fr-CA"/>
        </w:rPr>
      </w:pPr>
      <w:r w:rsidRPr="00BA79FC">
        <w:rPr>
          <w:lang w:val="fr-CA"/>
        </w:rPr>
        <w:tab/>
      </w:r>
      <w:r w:rsidR="0041249E">
        <w:rPr>
          <w:lang w:val="fr-CA"/>
        </w:rPr>
        <w:tab/>
      </w:r>
      <w:r w:rsidR="00B66CF9">
        <w:rPr>
          <w:lang w:val="fr-CA"/>
        </w:rPr>
        <w:t>. . . l</w:t>
      </w:r>
      <w:r w:rsidRPr="00BA79FC">
        <w:rPr>
          <w:lang w:val="fr-CA"/>
        </w:rPr>
        <w:t>’octroi par plusieurs monopoles de gestion collective des licences nécessaires à l’exercice d’une seule activité crée des inefficiences dont souffre également la collectivité des titulaires du droit d’auteur</w:t>
      </w:r>
      <w:r w:rsidR="00860958">
        <w:rPr>
          <w:lang w:val="fr-CA"/>
        </w:rPr>
        <w:t xml:space="preserve"> </w:t>
      </w:r>
      <w:r w:rsidRPr="00BA79FC">
        <w:rPr>
          <w:lang w:val="fr-CA"/>
        </w:rPr>
        <w:t>.</w:t>
      </w:r>
      <w:r w:rsidR="00860958">
        <w:rPr>
          <w:lang w:val="fr-CA"/>
        </w:rPr>
        <w:t xml:space="preserve"> . . </w:t>
      </w:r>
    </w:p>
    <w:p w:rsidR="00B77AA4" w:rsidRPr="00BA79FC" w:rsidRDefault="00B77AA4" w:rsidP="00B77AA4">
      <w:pPr>
        <w:pStyle w:val="Citation-AltC"/>
        <w:ind w:hanging="1166"/>
        <w:rPr>
          <w:lang w:val="en-US"/>
        </w:rPr>
      </w:pPr>
      <w:r w:rsidRPr="00BA79FC">
        <w:rPr>
          <w:lang w:val="fr-CA"/>
        </w:rPr>
        <w:tab/>
      </w:r>
      <w:r w:rsidRPr="00BA79FC">
        <w:rPr>
          <w:lang w:val="en-US"/>
        </w:rPr>
        <w:t>(Ariel Katz, « </w:t>
      </w:r>
      <w:proofErr w:type="gramStart"/>
      <w:r w:rsidRPr="00BA79FC">
        <w:rPr>
          <w:lang w:val="en-US"/>
        </w:rPr>
        <w:t>Commentary</w:t>
      </w:r>
      <w:r w:rsidR="002D6374">
        <w:rPr>
          <w:lang w:val="en-US"/>
        </w:rPr>
        <w:t xml:space="preserve"> </w:t>
      </w:r>
      <w:r w:rsidRPr="00BA79FC">
        <w:rPr>
          <w:lang w:val="en-US"/>
        </w:rPr>
        <w:t>:</w:t>
      </w:r>
      <w:proofErr w:type="gramEnd"/>
      <w:r w:rsidRPr="00BA79FC">
        <w:rPr>
          <w:lang w:val="en-US"/>
        </w:rPr>
        <w:t xml:space="preserve"> Is Collective Administration of Copyrights Justified by the Economic Literature? », </w:t>
      </w:r>
      <w:proofErr w:type="spellStart"/>
      <w:r w:rsidRPr="00BA79FC">
        <w:rPr>
          <w:lang w:val="en-US"/>
        </w:rPr>
        <w:t>dans</w:t>
      </w:r>
      <w:proofErr w:type="spellEnd"/>
      <w:r w:rsidRPr="00BA79FC">
        <w:rPr>
          <w:lang w:val="en-US"/>
        </w:rPr>
        <w:t xml:space="preserve"> Marcel Boyer, Michael </w:t>
      </w:r>
      <w:proofErr w:type="spellStart"/>
      <w:r w:rsidRPr="00BA79FC">
        <w:rPr>
          <w:lang w:val="en-US"/>
        </w:rPr>
        <w:t>Trebilcock</w:t>
      </w:r>
      <w:proofErr w:type="spellEnd"/>
      <w:r w:rsidRPr="00BA79FC">
        <w:rPr>
          <w:lang w:val="en-US"/>
        </w:rPr>
        <w:t xml:space="preserve"> et David </w:t>
      </w:r>
      <w:proofErr w:type="spellStart"/>
      <w:r w:rsidRPr="00BA79FC">
        <w:rPr>
          <w:lang w:val="en-US"/>
        </w:rPr>
        <w:t>Vaver</w:t>
      </w:r>
      <w:proofErr w:type="spellEnd"/>
      <w:r w:rsidRPr="00BA79FC">
        <w:rPr>
          <w:lang w:val="en-US"/>
        </w:rPr>
        <w:t xml:space="preserve">, dir., </w:t>
      </w:r>
      <w:r w:rsidRPr="00BA79FC">
        <w:rPr>
          <w:i/>
          <w:lang w:val="en-US"/>
        </w:rPr>
        <w:t xml:space="preserve">Competition Policy and Intellectual Property </w:t>
      </w:r>
      <w:r w:rsidRPr="00BA79FC">
        <w:rPr>
          <w:lang w:val="en-US"/>
        </w:rPr>
        <w:t xml:space="preserve">(2009), 449, </w:t>
      </w:r>
      <w:r w:rsidR="00860958">
        <w:rPr>
          <w:lang w:val="en-US"/>
        </w:rPr>
        <w:t>p. 461-</w:t>
      </w:r>
      <w:r w:rsidRPr="00BA79FC">
        <w:rPr>
          <w:lang w:val="en-US"/>
        </w:rPr>
        <w:t>463)</w:t>
      </w:r>
    </w:p>
    <w:p w:rsidR="00B77AA4" w:rsidRPr="00BA79FC" w:rsidRDefault="00B77AA4" w:rsidP="00B77AA4">
      <w:pPr>
        <w:pStyle w:val="ParaNoNdepar-AltN"/>
        <w:tabs>
          <w:tab w:val="clear" w:pos="1152"/>
          <w:tab w:val="left" w:pos="1166"/>
        </w:tabs>
        <w:rPr>
          <w:lang w:val="fr-CA"/>
        </w:rPr>
      </w:pPr>
      <w:r w:rsidRPr="00BA79FC">
        <w:rPr>
          <w:lang w:val="fr-CA"/>
        </w:rPr>
        <w:t xml:space="preserve">À notre avis, la Commission conclut à tort que distribuer sur Internet une copie d’un jeu vidéo qui renferme une œuvre musicale équivaut à « communiquer » cette œuvre au public.  L’historique de la </w:t>
      </w:r>
      <w:r w:rsidRPr="00BA79FC">
        <w:rPr>
          <w:i/>
          <w:lang w:val="fr-CA"/>
        </w:rPr>
        <w:t>Loi sur le droit d’auteur</w:t>
      </w:r>
      <w:r w:rsidRPr="00BA79FC">
        <w:rPr>
          <w:lang w:val="fr-CA"/>
        </w:rPr>
        <w:t>, dont il ressort que le droit de « communiquer » a toujours été lié à celui d’exécuter ou de représenter une œuvre, et non au droit de créer une copie permanente de l’œuvre, le confirme.</w:t>
      </w:r>
    </w:p>
    <w:p w:rsidR="00B77AA4" w:rsidRPr="00BA79FC" w:rsidRDefault="00B77AA4" w:rsidP="00B77AA4">
      <w:pPr>
        <w:pStyle w:val="ParaNoNdepar-AltN"/>
        <w:rPr>
          <w:lang w:val="fr-CA"/>
        </w:rPr>
      </w:pPr>
      <w:r w:rsidRPr="00BA79FC">
        <w:rPr>
          <w:lang w:val="fr-CA"/>
        </w:rPr>
        <w:t xml:space="preserve">Comme notre Cour l’a rappelé dans l’arrêt </w:t>
      </w:r>
      <w:r w:rsidRPr="00BA79FC">
        <w:rPr>
          <w:i/>
          <w:lang w:val="fr-CA"/>
        </w:rPr>
        <w:t>Bishop c. Stevens</w:t>
      </w:r>
      <w:r w:rsidR="001D1EEB">
        <w:rPr>
          <w:lang w:val="fr-CA"/>
        </w:rPr>
        <w:t xml:space="preserve">, [1990] 2 R.C.S. 467, </w:t>
      </w:r>
      <w:r w:rsidRPr="00BA79FC">
        <w:rPr>
          <w:lang w:val="fr-CA"/>
        </w:rPr>
        <w:t>p. 473</w:t>
      </w:r>
      <w:r w:rsidR="002F38C1">
        <w:rPr>
          <w:lang w:val="fr-CA"/>
        </w:rPr>
        <w:t>-</w:t>
      </w:r>
      <w:r w:rsidRPr="00BA79FC">
        <w:rPr>
          <w:lang w:val="fr-CA"/>
        </w:rPr>
        <w:t xml:space="preserve">474, la </w:t>
      </w:r>
      <w:r w:rsidRPr="00BA79FC">
        <w:rPr>
          <w:i/>
          <w:lang w:val="fr-CA"/>
        </w:rPr>
        <w:t>Loi de 1921 concernant le droit d’auteur</w:t>
      </w:r>
      <w:r w:rsidRPr="00BA79FC">
        <w:rPr>
          <w:lang w:val="fr-CA"/>
        </w:rPr>
        <w:t xml:space="preserve"> a été </w:t>
      </w:r>
      <w:proofErr w:type="gramStart"/>
      <w:r w:rsidRPr="00BA79FC">
        <w:rPr>
          <w:lang w:val="fr-CA"/>
        </w:rPr>
        <w:t>conçue</w:t>
      </w:r>
      <w:proofErr w:type="gramEnd"/>
      <w:r w:rsidRPr="00BA79FC">
        <w:rPr>
          <w:lang w:val="fr-CA"/>
        </w:rPr>
        <w:t xml:space="preserve"> pour appliquer les dispositions suivantes de la </w:t>
      </w:r>
      <w:r w:rsidRPr="00BA79FC">
        <w:rPr>
          <w:i/>
          <w:lang w:val="fr-CA"/>
        </w:rPr>
        <w:t>Convention de Berne pour la protection des œuvres littéraires et artistiques</w:t>
      </w:r>
      <w:r w:rsidRPr="00BA79FC">
        <w:rPr>
          <w:lang w:val="fr-CA"/>
        </w:rPr>
        <w:t xml:space="preserve"> de 1886, révisée à Berlin en 1908 :</w:t>
      </w:r>
    </w:p>
    <w:p w:rsidR="00B77AA4" w:rsidRPr="00BA79FC" w:rsidRDefault="00B77AA4" w:rsidP="0041249E">
      <w:pPr>
        <w:pStyle w:val="Citation-AltC"/>
        <w:keepNext/>
        <w:keepLines/>
        <w:spacing w:after="240"/>
        <w:ind w:left="0"/>
        <w:contextualSpacing w:val="0"/>
        <w:jc w:val="center"/>
        <w:rPr>
          <w:lang w:val="fr-CA"/>
        </w:rPr>
      </w:pPr>
      <w:r w:rsidRPr="00BA79FC">
        <w:rPr>
          <w:lang w:val="fr-CA"/>
        </w:rPr>
        <w:t>Article 11</w:t>
      </w:r>
    </w:p>
    <w:p w:rsidR="00B77AA4" w:rsidRPr="00BA79FC" w:rsidRDefault="00B77AA4" w:rsidP="0041249E">
      <w:pPr>
        <w:pStyle w:val="Citation-AltC"/>
        <w:tabs>
          <w:tab w:val="left" w:pos="1620"/>
        </w:tabs>
        <w:spacing w:after="240"/>
        <w:ind w:hanging="1166"/>
        <w:contextualSpacing w:val="0"/>
        <w:rPr>
          <w:lang w:val="fr-CA"/>
        </w:rPr>
      </w:pPr>
      <w:r w:rsidRPr="00BA79FC">
        <w:rPr>
          <w:lang w:val="fr-CA"/>
        </w:rPr>
        <w:tab/>
      </w:r>
      <w:r w:rsidRPr="00BA79FC">
        <w:rPr>
          <w:lang w:val="fr-CA"/>
        </w:rPr>
        <w:tab/>
        <w:t xml:space="preserve">Les stipulations de la présente Convention s’appliquent à la </w:t>
      </w:r>
      <w:r w:rsidRPr="00BA79FC">
        <w:rPr>
          <w:i/>
          <w:lang w:val="fr-CA"/>
        </w:rPr>
        <w:t>représentation publique</w:t>
      </w:r>
      <w:r w:rsidRPr="00BA79FC">
        <w:rPr>
          <w:lang w:val="fr-CA"/>
        </w:rPr>
        <w:t xml:space="preserve"> des œuvres dramatiques ou </w:t>
      </w:r>
      <w:proofErr w:type="spellStart"/>
      <w:r w:rsidRPr="00BA79FC">
        <w:rPr>
          <w:lang w:val="fr-CA"/>
        </w:rPr>
        <w:t>dramatico</w:t>
      </w:r>
      <w:proofErr w:type="spellEnd"/>
      <w:r w:rsidR="002F38C1">
        <w:rPr>
          <w:lang w:val="fr-CA"/>
        </w:rPr>
        <w:t>-</w:t>
      </w:r>
      <w:r w:rsidRPr="00BA79FC">
        <w:rPr>
          <w:lang w:val="fr-CA"/>
        </w:rPr>
        <w:t>musicales, et à l’</w:t>
      </w:r>
      <w:r w:rsidRPr="00BA79FC">
        <w:rPr>
          <w:i/>
          <w:lang w:val="fr-CA"/>
        </w:rPr>
        <w:t>exécution publique</w:t>
      </w:r>
      <w:r w:rsidRPr="00BA79FC">
        <w:rPr>
          <w:lang w:val="fr-CA"/>
        </w:rPr>
        <w:t xml:space="preserve"> des œuvres musicales, que ces œuvres soient publiées ou non.</w:t>
      </w:r>
    </w:p>
    <w:p w:rsidR="00B77AA4" w:rsidRPr="00BA79FC" w:rsidRDefault="00B77AA4" w:rsidP="0041249E">
      <w:pPr>
        <w:pStyle w:val="Citation-AltC"/>
        <w:keepNext/>
        <w:keepLines/>
        <w:spacing w:after="240"/>
        <w:ind w:left="0"/>
        <w:contextualSpacing w:val="0"/>
        <w:jc w:val="center"/>
        <w:rPr>
          <w:lang w:val="fr-CA"/>
        </w:rPr>
      </w:pPr>
      <w:r w:rsidRPr="00BA79FC">
        <w:rPr>
          <w:lang w:val="fr-CA"/>
        </w:rPr>
        <w:lastRenderedPageBreak/>
        <w:t>. . .</w:t>
      </w:r>
    </w:p>
    <w:p w:rsidR="00B77AA4" w:rsidRPr="00BA79FC" w:rsidRDefault="00B77AA4" w:rsidP="0041249E">
      <w:pPr>
        <w:pStyle w:val="Citation-AltC"/>
        <w:keepNext/>
        <w:keepLines/>
        <w:spacing w:after="240"/>
        <w:ind w:left="0"/>
        <w:contextualSpacing w:val="0"/>
        <w:jc w:val="center"/>
        <w:rPr>
          <w:lang w:val="fr-CA"/>
        </w:rPr>
      </w:pPr>
      <w:r w:rsidRPr="00BA79FC">
        <w:rPr>
          <w:lang w:val="fr-CA"/>
        </w:rPr>
        <w:t>Article 13</w:t>
      </w:r>
    </w:p>
    <w:p w:rsidR="00B77AA4" w:rsidRPr="00BA79FC" w:rsidRDefault="00B77AA4" w:rsidP="0041249E">
      <w:pPr>
        <w:pStyle w:val="Citation-AltC"/>
        <w:tabs>
          <w:tab w:val="left" w:pos="1620"/>
        </w:tabs>
        <w:spacing w:after="240"/>
        <w:ind w:hanging="1166"/>
        <w:contextualSpacing w:val="0"/>
        <w:rPr>
          <w:lang w:val="fr-CA"/>
        </w:rPr>
      </w:pPr>
      <w:r w:rsidRPr="00BA79FC">
        <w:rPr>
          <w:lang w:val="fr-CA"/>
        </w:rPr>
        <w:tab/>
      </w:r>
      <w:r w:rsidRPr="00BA79FC">
        <w:rPr>
          <w:lang w:val="fr-CA"/>
        </w:rPr>
        <w:tab/>
        <w:t>Les auteurs d’œuvres musicales ont le droit exclusif d’autoriser</w:t>
      </w:r>
      <w:r w:rsidR="00E23F97">
        <w:rPr>
          <w:lang w:val="fr-CA"/>
        </w:rPr>
        <w:t xml:space="preserve"> </w:t>
      </w:r>
      <w:r w:rsidRPr="00BA79FC">
        <w:rPr>
          <w:lang w:val="fr-CA"/>
        </w:rPr>
        <w:t xml:space="preserve">: (1) l’adaptation de ces œuvres à des instruments servant à les </w:t>
      </w:r>
      <w:r w:rsidRPr="00BA79FC">
        <w:rPr>
          <w:i/>
          <w:lang w:val="fr-CA"/>
        </w:rPr>
        <w:t>reproduire</w:t>
      </w:r>
      <w:r w:rsidRPr="00BA79FC">
        <w:rPr>
          <w:lang w:val="fr-CA"/>
        </w:rPr>
        <w:t xml:space="preserve"> mécaniquement; (2) l’</w:t>
      </w:r>
      <w:r w:rsidRPr="00BA79FC">
        <w:rPr>
          <w:i/>
          <w:lang w:val="fr-CA"/>
        </w:rPr>
        <w:t>exécution publique</w:t>
      </w:r>
      <w:r w:rsidRPr="00BA79FC">
        <w:rPr>
          <w:lang w:val="fr-CA"/>
        </w:rPr>
        <w:t xml:space="preserve"> des mêmes œuvres au moyen de ces instruments.</w:t>
      </w:r>
    </w:p>
    <w:p w:rsidR="00B77AA4" w:rsidRPr="00BA79FC" w:rsidRDefault="00B77AA4" w:rsidP="0041249E">
      <w:pPr>
        <w:pStyle w:val="Citation-AltC"/>
        <w:keepNext/>
        <w:keepLines/>
        <w:spacing w:after="240"/>
        <w:ind w:left="0"/>
        <w:contextualSpacing w:val="0"/>
        <w:jc w:val="center"/>
        <w:rPr>
          <w:lang w:val="fr-CA"/>
        </w:rPr>
      </w:pPr>
      <w:r w:rsidRPr="00BA79FC">
        <w:rPr>
          <w:lang w:val="fr-CA"/>
        </w:rPr>
        <w:t>. . .</w:t>
      </w:r>
    </w:p>
    <w:p w:rsidR="00B77AA4" w:rsidRPr="00BA79FC" w:rsidRDefault="00B77AA4" w:rsidP="0041249E">
      <w:pPr>
        <w:pStyle w:val="Citation-AltC"/>
        <w:keepNext/>
        <w:keepLines/>
        <w:spacing w:after="240"/>
        <w:ind w:left="0"/>
        <w:contextualSpacing w:val="0"/>
        <w:jc w:val="center"/>
        <w:rPr>
          <w:lang w:val="fr-CA"/>
        </w:rPr>
      </w:pPr>
      <w:r w:rsidRPr="00BA79FC">
        <w:rPr>
          <w:lang w:val="fr-CA"/>
        </w:rPr>
        <w:t>Article 14</w:t>
      </w:r>
    </w:p>
    <w:p w:rsidR="00B77AA4" w:rsidRPr="00BA79FC" w:rsidRDefault="00B77AA4" w:rsidP="0041249E">
      <w:pPr>
        <w:pStyle w:val="Citation-AltC"/>
        <w:tabs>
          <w:tab w:val="left" w:pos="1620"/>
        </w:tabs>
        <w:ind w:hanging="1166"/>
        <w:rPr>
          <w:lang w:val="fr-CA"/>
        </w:rPr>
      </w:pPr>
      <w:r w:rsidRPr="00BA79FC">
        <w:rPr>
          <w:lang w:val="fr-CA"/>
        </w:rPr>
        <w:tab/>
      </w:r>
      <w:r w:rsidRPr="00BA79FC">
        <w:rPr>
          <w:lang w:val="fr-CA"/>
        </w:rPr>
        <w:tab/>
        <w:t xml:space="preserve">Les auteurs d’œuvres littéraires, scientifiques ou artistiques ont </w:t>
      </w:r>
      <w:r w:rsidRPr="00BA79FC">
        <w:rPr>
          <w:i/>
          <w:lang w:val="fr-CA"/>
        </w:rPr>
        <w:t>le droit exclusif d’autoriser la reproduction</w:t>
      </w:r>
      <w:r w:rsidRPr="00BA79FC">
        <w:rPr>
          <w:lang w:val="fr-CA"/>
        </w:rPr>
        <w:t xml:space="preserve"> et la représentation publique de leurs œuvres par la cinématographie.  </w:t>
      </w:r>
    </w:p>
    <w:p w:rsidR="00B77AA4" w:rsidRPr="00BA79FC" w:rsidRDefault="00B77AA4" w:rsidP="00B77AA4">
      <w:pPr>
        <w:pStyle w:val="ParaNoNdepar-AltN"/>
        <w:rPr>
          <w:lang w:val="fr-CA"/>
        </w:rPr>
      </w:pPr>
      <w:r w:rsidRPr="00BA79FC">
        <w:rPr>
          <w:lang w:val="fr-CA"/>
        </w:rPr>
        <w:t xml:space="preserve">La teneur de ces articles a été reprise dans le texte introductif du par. 3(1) de la </w:t>
      </w:r>
      <w:r w:rsidRPr="00BA79FC">
        <w:rPr>
          <w:i/>
          <w:lang w:val="fr-CA"/>
        </w:rPr>
        <w:t>Loi de 1921 concernant le droit d’auteur</w:t>
      </w:r>
      <w:r w:rsidRPr="00BA79FC">
        <w:rPr>
          <w:lang w:val="fr-CA"/>
        </w:rPr>
        <w:t>, S.C. </w:t>
      </w:r>
      <w:r w:rsidR="0041249E">
        <w:rPr>
          <w:lang w:val="fr-CA"/>
        </w:rPr>
        <w:t>1921, ch. 24, lequel accordait</w:t>
      </w:r>
    </w:p>
    <w:p w:rsidR="00B77AA4" w:rsidRPr="00BA79FC" w:rsidRDefault="00B77AA4" w:rsidP="00B77AA4">
      <w:pPr>
        <w:pStyle w:val="Citation-AltC"/>
        <w:ind w:hanging="1166"/>
        <w:rPr>
          <w:lang w:val="fr-CA"/>
        </w:rPr>
      </w:pPr>
      <w:r w:rsidRPr="00BA79FC">
        <w:rPr>
          <w:lang w:val="fr-CA"/>
        </w:rPr>
        <w:tab/>
      </w:r>
      <w:proofErr w:type="gramStart"/>
      <w:r w:rsidRPr="00BA79FC">
        <w:rPr>
          <w:lang w:val="fr-CA"/>
        </w:rPr>
        <w:t>le</w:t>
      </w:r>
      <w:proofErr w:type="gramEnd"/>
      <w:r w:rsidRPr="00BA79FC">
        <w:rPr>
          <w:lang w:val="fr-CA"/>
        </w:rPr>
        <w:t xml:space="preserve"> droit exclusif </w:t>
      </w:r>
      <w:r w:rsidRPr="00BA79FC">
        <w:rPr>
          <w:i/>
          <w:lang w:val="fr-CA"/>
        </w:rPr>
        <w:t>de produire ou de reproduire</w:t>
      </w:r>
      <w:r w:rsidRPr="00BA79FC">
        <w:rPr>
          <w:lang w:val="fr-CA"/>
        </w:rPr>
        <w:t xml:space="preserve"> une œuvre sous une forme matérielle quelconque, </w:t>
      </w:r>
      <w:r w:rsidRPr="00BA79FC">
        <w:rPr>
          <w:i/>
          <w:lang w:val="fr-CA"/>
        </w:rPr>
        <w:t>d’exécuter ou de représenter</w:t>
      </w:r>
      <w:r w:rsidRPr="00BA79FC">
        <w:rPr>
          <w:lang w:val="fr-CA"/>
        </w:rPr>
        <w:t xml:space="preserve"> ou, s’il s’agit d’une conférence, de débiter en public, et si l’œuvre n’est pas publiée, de publier l’œuvre ou une partie importante de celle</w:t>
      </w:r>
      <w:r w:rsidR="002F38C1">
        <w:rPr>
          <w:lang w:val="fr-CA"/>
        </w:rPr>
        <w:t>-</w:t>
      </w:r>
      <w:r w:rsidRPr="00BA79FC">
        <w:rPr>
          <w:lang w:val="fr-CA"/>
        </w:rPr>
        <w:t xml:space="preserve">ci; . . . </w:t>
      </w:r>
    </w:p>
    <w:p w:rsidR="00B77AA4" w:rsidRPr="00BA79FC" w:rsidRDefault="00B77AA4" w:rsidP="00B77AA4">
      <w:pPr>
        <w:pStyle w:val="ParaNoNdepar-AltN"/>
        <w:rPr>
          <w:lang w:val="fr-CA"/>
        </w:rPr>
      </w:pPr>
      <w:r w:rsidRPr="00BA79FC">
        <w:rPr>
          <w:lang w:val="fr-CA"/>
        </w:rPr>
        <w:t xml:space="preserve">Dans la </w:t>
      </w:r>
      <w:r w:rsidRPr="000F65BE">
        <w:rPr>
          <w:i/>
          <w:lang w:val="fr-CA"/>
        </w:rPr>
        <w:t>Loi</w:t>
      </w:r>
      <w:r w:rsidRPr="00BA79FC">
        <w:rPr>
          <w:lang w:val="fr-CA"/>
        </w:rPr>
        <w:t xml:space="preserve"> de 1921, l’al. 2</w:t>
      </w:r>
      <w:r w:rsidR="0041249E" w:rsidRPr="0041249E">
        <w:rPr>
          <w:i/>
          <w:lang w:val="fr-CA"/>
        </w:rPr>
        <w:t>d</w:t>
      </w:r>
      <w:r w:rsidRPr="0041249E">
        <w:rPr>
          <w:lang w:val="fr-CA"/>
        </w:rPr>
        <w:t>)</w:t>
      </w:r>
      <w:r w:rsidRPr="00BA79FC">
        <w:rPr>
          <w:lang w:val="fr-CA"/>
        </w:rPr>
        <w:t xml:space="preserve"> définissait comme suit l’« exécution » ou la « représentation » (en anglais, « </w:t>
      </w:r>
      <w:r w:rsidRPr="00BA79FC">
        <w:rPr>
          <w:i/>
          <w:lang w:val="fr-CA"/>
        </w:rPr>
        <w:t>performance</w:t>
      </w:r>
      <w:r w:rsidRPr="00BA79FC">
        <w:rPr>
          <w:lang w:val="fr-CA"/>
        </w:rPr>
        <w:t> ») :</w:t>
      </w:r>
    </w:p>
    <w:p w:rsidR="00B77AA4" w:rsidRPr="00BA79FC" w:rsidRDefault="00B77AA4" w:rsidP="00B77AA4">
      <w:pPr>
        <w:pStyle w:val="Citation-AltC"/>
        <w:ind w:hanging="1166"/>
        <w:rPr>
          <w:lang w:val="fr-CA"/>
        </w:rPr>
      </w:pPr>
      <w:r w:rsidRPr="00BA79FC">
        <w:rPr>
          <w:lang w:val="fr-CA"/>
        </w:rPr>
        <w:tab/>
        <w:t>. . . toute reproduction sonore d’une œuvre, ainsi que toute représentation visuelle d’une action dramatique, contenue dans une œuvre, y compris la représentation effectuée à l’aide d’un instrument mécanique;</w:t>
      </w:r>
    </w:p>
    <w:p w:rsidR="00B77AA4" w:rsidRPr="00BA79FC" w:rsidRDefault="00B77AA4" w:rsidP="00B77AA4">
      <w:pPr>
        <w:pStyle w:val="ParaNoNdepar-AltN"/>
        <w:rPr>
          <w:lang w:val="fr-CA"/>
        </w:rPr>
      </w:pPr>
      <w:r w:rsidRPr="00BA79FC">
        <w:rPr>
          <w:lang w:val="fr-CA"/>
        </w:rPr>
        <w:t xml:space="preserve">À l’époque, le droit d’exécution ou de représentation supposait la présence d’un auditoire sur place.  Cependant, avec l’avènement de la radiodiffusion, </w:t>
      </w:r>
      <w:r w:rsidRPr="00BA79FC">
        <w:rPr>
          <w:lang w:val="fr-CA"/>
        </w:rPr>
        <w:lastRenderedPageBreak/>
        <w:t>un débat s’est engagé sur l’application du droit d’auteur à cette nouvelle technologie, un débat qui s’apparentait à celui que suscitent actuellement les technologies Internet.  Suivant le consensus international, la radiodiffusion devait être considérée comme un prolongement de l’exécution ou de la représentation de manière à englober l’auditoire éloigné : Paul Goldstein et P. </w:t>
      </w:r>
      <w:proofErr w:type="spellStart"/>
      <w:r w:rsidRPr="00BA79FC">
        <w:rPr>
          <w:lang w:val="fr-CA"/>
        </w:rPr>
        <w:t>Bernt</w:t>
      </w:r>
      <w:proofErr w:type="spellEnd"/>
      <w:r w:rsidRPr="00BA79FC">
        <w:rPr>
          <w:lang w:val="fr-CA"/>
        </w:rPr>
        <w:t xml:space="preserve"> </w:t>
      </w:r>
      <w:proofErr w:type="spellStart"/>
      <w:r w:rsidRPr="00BA79FC">
        <w:rPr>
          <w:lang w:val="fr-CA"/>
        </w:rPr>
        <w:t>Hugenholtz</w:t>
      </w:r>
      <w:proofErr w:type="spellEnd"/>
      <w:r w:rsidRPr="00BA79FC">
        <w:rPr>
          <w:lang w:val="fr-CA"/>
        </w:rPr>
        <w:t xml:space="preserve">, </w:t>
      </w:r>
      <w:r w:rsidRPr="00BA79FC">
        <w:rPr>
          <w:i/>
          <w:lang w:val="fr-CA"/>
        </w:rPr>
        <w:t xml:space="preserve">International Copyright : </w:t>
      </w:r>
      <w:proofErr w:type="spellStart"/>
      <w:r w:rsidRPr="00BA79FC">
        <w:rPr>
          <w:i/>
          <w:lang w:val="fr-CA"/>
        </w:rPr>
        <w:t>Principles</w:t>
      </w:r>
      <w:proofErr w:type="spellEnd"/>
      <w:r w:rsidRPr="00BA79FC">
        <w:rPr>
          <w:i/>
          <w:lang w:val="fr-CA"/>
        </w:rPr>
        <w:t>, Law and Practice</w:t>
      </w:r>
      <w:r w:rsidRPr="00BA79FC">
        <w:rPr>
          <w:lang w:val="fr-CA"/>
        </w:rPr>
        <w:t xml:space="preserve"> (2</w:t>
      </w:r>
      <w:r w:rsidRPr="00BA79FC">
        <w:rPr>
          <w:vertAlign w:val="superscript"/>
          <w:lang w:val="fr-CA"/>
        </w:rPr>
        <w:t>e</w:t>
      </w:r>
      <w:r w:rsidRPr="00BA79FC">
        <w:rPr>
          <w:lang w:val="fr-CA"/>
        </w:rPr>
        <w:t xml:space="preserve"> éd. 2010), §9.1.4.3; Pierre</w:t>
      </w:r>
      <w:r w:rsidR="002F38C1">
        <w:rPr>
          <w:lang w:val="fr-CA"/>
        </w:rPr>
        <w:t>-</w:t>
      </w:r>
      <w:r w:rsidRPr="00BA79FC">
        <w:rPr>
          <w:lang w:val="fr-CA"/>
        </w:rPr>
        <w:t xml:space="preserve">Emmanuel </w:t>
      </w:r>
      <w:proofErr w:type="spellStart"/>
      <w:r w:rsidRPr="00BA79FC">
        <w:rPr>
          <w:lang w:val="fr-CA"/>
        </w:rPr>
        <w:t>Moyse</w:t>
      </w:r>
      <w:proofErr w:type="spellEnd"/>
      <w:r w:rsidRPr="00BA79FC">
        <w:rPr>
          <w:lang w:val="fr-CA"/>
        </w:rPr>
        <w:t xml:space="preserve">, </w:t>
      </w:r>
      <w:r w:rsidRPr="00BA79FC">
        <w:rPr>
          <w:i/>
          <w:lang w:val="fr-CA"/>
        </w:rPr>
        <w:t xml:space="preserve">Le droit de distribution : analyse historique et comparative en droit d’auteur </w:t>
      </w:r>
      <w:r w:rsidRPr="00BA79FC">
        <w:rPr>
          <w:lang w:val="fr-CA"/>
        </w:rPr>
        <w:t>(2007), p. 309</w:t>
      </w:r>
      <w:r w:rsidR="002F38C1">
        <w:rPr>
          <w:lang w:val="fr-CA"/>
        </w:rPr>
        <w:t>-</w:t>
      </w:r>
      <w:r w:rsidRPr="00BA79FC">
        <w:rPr>
          <w:lang w:val="fr-CA"/>
        </w:rPr>
        <w:t xml:space="preserve">310.  La </w:t>
      </w:r>
      <w:r w:rsidRPr="00BA79FC">
        <w:rPr>
          <w:i/>
          <w:lang w:val="fr-CA"/>
        </w:rPr>
        <w:t>Convention de Berne</w:t>
      </w:r>
      <w:r w:rsidRPr="00BA79FC">
        <w:rPr>
          <w:lang w:val="fr-CA"/>
        </w:rPr>
        <w:t xml:space="preserve"> a donc été révisée à Rome en 1928 pour élargir le droit d’exécution prévu à l’article 11.  Le nouvel article 11</w:t>
      </w:r>
      <w:r w:rsidRPr="00BA79FC">
        <w:rPr>
          <w:i/>
          <w:lang w:val="fr-CA"/>
        </w:rPr>
        <w:t>bis</w:t>
      </w:r>
      <w:r w:rsidRPr="00BA79FC">
        <w:rPr>
          <w:lang w:val="fr-CA"/>
        </w:rPr>
        <w:t xml:space="preserve"> conférait aux auteurs le « droit exclusif d’autoriser la </w:t>
      </w:r>
      <w:r w:rsidRPr="00BA79FC">
        <w:rPr>
          <w:i/>
          <w:lang w:val="fr-CA"/>
        </w:rPr>
        <w:t>communication</w:t>
      </w:r>
      <w:r w:rsidRPr="00BA79FC">
        <w:rPr>
          <w:lang w:val="fr-CA"/>
        </w:rPr>
        <w:t xml:space="preserve"> de leurs œuvres au public </w:t>
      </w:r>
      <w:r w:rsidRPr="00BA79FC">
        <w:rPr>
          <w:i/>
          <w:lang w:val="fr-CA"/>
        </w:rPr>
        <w:t>par la radiodiffusion</w:t>
      </w:r>
      <w:r w:rsidRPr="00BA79FC">
        <w:rPr>
          <w:lang w:val="fr-CA"/>
        </w:rPr>
        <w:t> ».</w:t>
      </w:r>
    </w:p>
    <w:p w:rsidR="00B77AA4" w:rsidRPr="00BA79FC" w:rsidRDefault="00B77AA4" w:rsidP="00B77AA4">
      <w:pPr>
        <w:pStyle w:val="ParaNoNdepar-AltN"/>
        <w:rPr>
          <w:lang w:val="fr-CA"/>
        </w:rPr>
      </w:pPr>
      <w:r w:rsidRPr="00BA79FC">
        <w:rPr>
          <w:lang w:val="fr-CA"/>
        </w:rPr>
        <w:t xml:space="preserve">En 1928, le Canada a adhéré à la </w:t>
      </w:r>
      <w:r w:rsidRPr="00BA79FC">
        <w:rPr>
          <w:i/>
          <w:lang w:val="fr-CA"/>
        </w:rPr>
        <w:t>Convention de Berne</w:t>
      </w:r>
      <w:r w:rsidRPr="00BA79FC">
        <w:rPr>
          <w:lang w:val="fr-CA"/>
        </w:rPr>
        <w:t xml:space="preserve"> ainsi révisée puis, en 1931, il a adopté l’al. 3(1)</w:t>
      </w:r>
      <w:r w:rsidRPr="00DC3F6F">
        <w:rPr>
          <w:i/>
          <w:lang w:val="fr-CA"/>
        </w:rPr>
        <w:t>f</w:t>
      </w:r>
      <w:r w:rsidRPr="00BA79FC">
        <w:rPr>
          <w:lang w:val="fr-CA"/>
        </w:rPr>
        <w:t xml:space="preserve">) de la </w:t>
      </w:r>
      <w:r w:rsidRPr="00BA79FC">
        <w:rPr>
          <w:i/>
          <w:lang w:val="fr-CA"/>
        </w:rPr>
        <w:t>Loi du droit d’auteur</w:t>
      </w:r>
      <w:r w:rsidRPr="00BA79FC">
        <w:rPr>
          <w:lang w:val="fr-CA"/>
        </w:rPr>
        <w:t xml:space="preserve"> qui intégrait le nouvel article 11</w:t>
      </w:r>
      <w:r w:rsidRPr="00BA79FC">
        <w:rPr>
          <w:i/>
          <w:lang w:val="fr-CA"/>
        </w:rPr>
        <w:t>bis</w:t>
      </w:r>
      <w:r w:rsidRPr="00BA79FC">
        <w:rPr>
          <w:lang w:val="fr-CA"/>
        </w:rPr>
        <w:t> :</w:t>
      </w:r>
    </w:p>
    <w:p w:rsidR="00B77AA4" w:rsidRPr="00BA79FC" w:rsidRDefault="00B77AA4" w:rsidP="00514A18">
      <w:pPr>
        <w:pStyle w:val="Citation-AltC"/>
        <w:tabs>
          <w:tab w:val="left" w:pos="1170"/>
          <w:tab w:val="left" w:pos="1620"/>
        </w:tabs>
        <w:spacing w:after="240"/>
        <w:ind w:left="1170" w:hanging="1170"/>
        <w:contextualSpacing w:val="0"/>
        <w:rPr>
          <w:lang w:val="fr-CA"/>
        </w:rPr>
      </w:pPr>
      <w:r w:rsidRPr="00BA79FC">
        <w:rPr>
          <w:i/>
          <w:lang w:val="fr-CA"/>
        </w:rPr>
        <w:tab/>
        <w:t>f</w:t>
      </w:r>
      <w:r w:rsidRPr="00BA79FC">
        <w:rPr>
          <w:lang w:val="fr-CA"/>
        </w:rPr>
        <w:t>)</w:t>
      </w:r>
      <w:r w:rsidRPr="00BA79FC">
        <w:rPr>
          <w:lang w:val="fr-CA"/>
        </w:rPr>
        <w:tab/>
        <w:t xml:space="preserve">S’il s’agit d’une œuvre littéraire, dramatique, musicale ou artistique, de </w:t>
      </w:r>
      <w:r w:rsidRPr="00BA79FC">
        <w:rPr>
          <w:i/>
          <w:lang w:val="fr-CA"/>
        </w:rPr>
        <w:t>transmettre</w:t>
      </w:r>
      <w:r w:rsidRPr="00BA79FC">
        <w:rPr>
          <w:lang w:val="fr-CA"/>
        </w:rPr>
        <w:t xml:space="preserve"> cette œuvre au moyen de la </w:t>
      </w:r>
      <w:r w:rsidRPr="00BA79FC">
        <w:rPr>
          <w:i/>
          <w:lang w:val="fr-CA"/>
        </w:rPr>
        <w:t>radiophonie</w:t>
      </w:r>
      <w:r w:rsidRPr="00BA79FC">
        <w:rPr>
          <w:lang w:val="fr-CA"/>
        </w:rPr>
        <w:t xml:space="preserve">. </w:t>
      </w:r>
    </w:p>
    <w:p w:rsidR="00B77AA4" w:rsidRPr="00BA79FC" w:rsidRDefault="00B77AA4" w:rsidP="00B77AA4">
      <w:pPr>
        <w:pStyle w:val="Citation-AltC"/>
        <w:tabs>
          <w:tab w:val="left" w:pos="1530"/>
        </w:tabs>
        <w:ind w:hanging="1166"/>
        <w:rPr>
          <w:lang w:val="fr-CA"/>
        </w:rPr>
      </w:pPr>
      <w:r w:rsidRPr="00BA79FC">
        <w:rPr>
          <w:lang w:val="fr-CA"/>
        </w:rPr>
        <w:tab/>
        <w:t>(</w:t>
      </w:r>
      <w:r w:rsidRPr="00BA79FC">
        <w:rPr>
          <w:i/>
          <w:lang w:val="fr-CA"/>
        </w:rPr>
        <w:t>Loi modifi</w:t>
      </w:r>
      <w:r w:rsidR="00DC3F6F">
        <w:rPr>
          <w:i/>
          <w:lang w:val="fr-CA"/>
        </w:rPr>
        <w:t xml:space="preserve">cative </w:t>
      </w:r>
      <w:r w:rsidRPr="00BA79FC">
        <w:rPr>
          <w:i/>
          <w:lang w:val="fr-CA"/>
        </w:rPr>
        <w:t>du droit d’auteur, 1931</w:t>
      </w:r>
      <w:r w:rsidRPr="00BA79FC">
        <w:rPr>
          <w:lang w:val="fr-CA"/>
        </w:rPr>
        <w:t>, S.C. 1931, ch. 8, art. 3)</w:t>
      </w:r>
    </w:p>
    <w:p w:rsidR="00B77AA4" w:rsidRPr="00BA79FC" w:rsidRDefault="00B77AA4" w:rsidP="00B77AA4">
      <w:pPr>
        <w:pStyle w:val="ParaNoNdepar-AltN"/>
        <w:rPr>
          <w:lang w:val="fr-CA"/>
        </w:rPr>
      </w:pPr>
      <w:r w:rsidRPr="00BA79FC">
        <w:rPr>
          <w:lang w:val="fr-CA"/>
        </w:rPr>
        <w:t xml:space="preserve">Par la même occasion, la </w:t>
      </w:r>
      <w:r w:rsidRPr="00BA79FC">
        <w:rPr>
          <w:i/>
          <w:lang w:val="fr-CA"/>
        </w:rPr>
        <w:t xml:space="preserve">Loi </w:t>
      </w:r>
      <w:r w:rsidR="003B1184">
        <w:rPr>
          <w:i/>
          <w:lang w:val="fr-CA"/>
        </w:rPr>
        <w:t xml:space="preserve">modificative </w:t>
      </w:r>
      <w:r w:rsidRPr="00BA79FC">
        <w:rPr>
          <w:i/>
          <w:lang w:val="fr-CA"/>
        </w:rPr>
        <w:t>du droit d’auteur</w:t>
      </w:r>
      <w:r w:rsidRPr="00BA79FC">
        <w:rPr>
          <w:lang w:val="fr-CA"/>
        </w:rPr>
        <w:t xml:space="preserve"> de 1931 modifiait la définition d’« exécution » ou de « représentation » (en anglais, « </w:t>
      </w:r>
      <w:r w:rsidRPr="00BA79FC">
        <w:rPr>
          <w:i/>
          <w:lang w:val="fr-CA"/>
        </w:rPr>
        <w:t>performance</w:t>
      </w:r>
      <w:r w:rsidRPr="00BA79FC">
        <w:rPr>
          <w:lang w:val="fr-CA"/>
        </w:rPr>
        <w:t> ») afin qu’elle englobe la notion nouvelle de communication à distance :</w:t>
      </w:r>
    </w:p>
    <w:p w:rsidR="00B77AA4" w:rsidRPr="00BA79FC" w:rsidRDefault="00B77AA4" w:rsidP="00B77AA4">
      <w:pPr>
        <w:pStyle w:val="Citation-AltC"/>
        <w:ind w:hanging="1166"/>
        <w:rPr>
          <w:lang w:val="fr-CA"/>
        </w:rPr>
      </w:pPr>
      <w:r w:rsidRPr="00BA79FC">
        <w:rPr>
          <w:lang w:val="fr-CA"/>
        </w:rPr>
        <w:lastRenderedPageBreak/>
        <w:tab/>
        <w:t>« </w:t>
      </w:r>
      <w:proofErr w:type="gramStart"/>
      <w:r w:rsidRPr="00BA79FC">
        <w:rPr>
          <w:lang w:val="fr-CA"/>
        </w:rPr>
        <w:t>représentation</w:t>
      </w:r>
      <w:proofErr w:type="gramEnd"/>
      <w:r w:rsidRPr="00BA79FC">
        <w:rPr>
          <w:lang w:val="fr-CA"/>
        </w:rPr>
        <w:t xml:space="preserve"> » ou « exécution » ou « audition » désigne toute reproduction sonore d’une œuvre </w:t>
      </w:r>
      <w:r w:rsidR="00644E38">
        <w:rPr>
          <w:lang w:val="fr-CA"/>
        </w:rPr>
        <w:t>[</w:t>
      </w:r>
      <w:r w:rsidRPr="00BA79FC">
        <w:rPr>
          <w:lang w:val="fr-CA"/>
        </w:rPr>
        <w:t>. . .</w:t>
      </w:r>
      <w:r w:rsidR="00644E38">
        <w:rPr>
          <w:lang w:val="fr-CA"/>
        </w:rPr>
        <w:t>]</w:t>
      </w:r>
      <w:r w:rsidRPr="00BA79FC">
        <w:rPr>
          <w:lang w:val="fr-CA"/>
        </w:rPr>
        <w:t xml:space="preserve"> y compris la représentation à l’aide de quelque instrument mécanique </w:t>
      </w:r>
      <w:r w:rsidRPr="00BA79FC">
        <w:rPr>
          <w:i/>
          <w:lang w:val="fr-CA"/>
        </w:rPr>
        <w:t>ou par transmission radiophonique</w:t>
      </w:r>
      <w:r w:rsidRPr="00BA79FC">
        <w:rPr>
          <w:lang w:val="fr-CA"/>
        </w:rPr>
        <w:t>.  [par. 2(3)]</w:t>
      </w:r>
    </w:p>
    <w:p w:rsidR="00B77AA4" w:rsidRPr="00BA79FC" w:rsidRDefault="00B77AA4" w:rsidP="00B77AA4">
      <w:pPr>
        <w:pStyle w:val="ParaNoNdepar-AltN"/>
        <w:rPr>
          <w:lang w:val="fr-CA"/>
        </w:rPr>
      </w:pPr>
      <w:r w:rsidRPr="00BA79FC">
        <w:rPr>
          <w:lang w:val="fr-CA"/>
        </w:rPr>
        <w:t xml:space="preserve">À l’instar des </w:t>
      </w:r>
      <w:proofErr w:type="gramStart"/>
      <w:r w:rsidRPr="00BA79FC">
        <w:rPr>
          <w:lang w:val="fr-CA"/>
        </w:rPr>
        <w:t>représentation</w:t>
      </w:r>
      <w:proofErr w:type="gramEnd"/>
      <w:r w:rsidRPr="00BA79FC">
        <w:rPr>
          <w:lang w:val="fr-CA"/>
        </w:rPr>
        <w:t>, exécution ou audition, la transmission au moyen de la radiophonie (c.</w:t>
      </w:r>
      <w:r w:rsidR="002F38C1">
        <w:rPr>
          <w:lang w:val="fr-CA"/>
        </w:rPr>
        <w:t>-</w:t>
      </w:r>
      <w:r w:rsidRPr="00BA79FC">
        <w:rPr>
          <w:lang w:val="fr-CA"/>
        </w:rPr>
        <w:t>à</w:t>
      </w:r>
      <w:r w:rsidR="002F38C1">
        <w:rPr>
          <w:lang w:val="fr-CA"/>
        </w:rPr>
        <w:t>-</w:t>
      </w:r>
      <w:r w:rsidRPr="00BA79FC">
        <w:rPr>
          <w:lang w:val="fr-CA"/>
        </w:rPr>
        <w:t>d. une émission radiodiffusée) visée à l’al. 3(1)</w:t>
      </w:r>
      <w:r w:rsidRPr="00BA79FC">
        <w:rPr>
          <w:i/>
          <w:lang w:val="fr-CA"/>
        </w:rPr>
        <w:t>f</w:t>
      </w:r>
      <w:r w:rsidRPr="00BA79FC">
        <w:rPr>
          <w:lang w:val="fr-CA"/>
        </w:rPr>
        <w:t>) supposait la « reproduction sonore » de l’œuvre.  En outre, comme la représentation, l’exécution ou l’audition, la transmission visée à l’al. 3(1)</w:t>
      </w:r>
      <w:r w:rsidRPr="00BA79FC">
        <w:rPr>
          <w:i/>
          <w:lang w:val="fr-CA"/>
        </w:rPr>
        <w:t>f</w:t>
      </w:r>
      <w:r w:rsidRPr="00BA79FC">
        <w:rPr>
          <w:lang w:val="fr-CA"/>
        </w:rPr>
        <w:t xml:space="preserve">) n’englobait </w:t>
      </w:r>
      <w:r w:rsidRPr="00BA79FC">
        <w:rPr>
          <w:i/>
          <w:lang w:val="fr-CA"/>
        </w:rPr>
        <w:t>pas</w:t>
      </w:r>
      <w:r w:rsidRPr="00BA79FC">
        <w:rPr>
          <w:lang w:val="fr-CA"/>
        </w:rPr>
        <w:t xml:space="preserve"> la distribution d’une copie permanente de l’œuvre, car les ondes hertziennes ne le permettaient pas.</w:t>
      </w:r>
    </w:p>
    <w:p w:rsidR="00B77AA4" w:rsidRPr="00BA79FC" w:rsidRDefault="00B77AA4" w:rsidP="00B77AA4">
      <w:pPr>
        <w:pStyle w:val="ParaNoNdepar-AltN"/>
        <w:rPr>
          <w:lang w:val="fr-CA"/>
        </w:rPr>
      </w:pPr>
      <w:r w:rsidRPr="00BA79FC">
        <w:rPr>
          <w:lang w:val="fr-CA"/>
        </w:rPr>
        <w:t>La justesse de cette interprétation de l’al. 3(1)</w:t>
      </w:r>
      <w:r w:rsidRPr="00BA79FC">
        <w:rPr>
          <w:i/>
          <w:lang w:val="fr-CA"/>
        </w:rPr>
        <w:t>f</w:t>
      </w:r>
      <w:r w:rsidRPr="00BA79FC">
        <w:rPr>
          <w:lang w:val="fr-CA"/>
        </w:rPr>
        <w:t>) initial est étayée par les débats en Chambre.  Pour expliquer l’objet de cette disposition au Parlement, le ministre responsable des modifications, C.</w:t>
      </w:r>
      <w:r w:rsidR="00172EA6">
        <w:rPr>
          <w:lang w:val="fr-CA"/>
        </w:rPr>
        <w:t xml:space="preserve"> </w:t>
      </w:r>
      <w:r w:rsidRPr="00BA79FC">
        <w:rPr>
          <w:lang w:val="fr-CA"/>
        </w:rPr>
        <w:t xml:space="preserve">H. </w:t>
      </w:r>
      <w:proofErr w:type="spellStart"/>
      <w:r w:rsidRPr="00BA79FC">
        <w:rPr>
          <w:lang w:val="fr-CA"/>
        </w:rPr>
        <w:t>Cahan</w:t>
      </w:r>
      <w:proofErr w:type="spellEnd"/>
      <w:r w:rsidRPr="00BA79FC">
        <w:rPr>
          <w:lang w:val="fr-CA"/>
        </w:rPr>
        <w:t xml:space="preserve">, </w:t>
      </w:r>
      <w:proofErr w:type="gramStart"/>
      <w:r w:rsidRPr="00BA79FC">
        <w:rPr>
          <w:lang w:val="fr-CA"/>
        </w:rPr>
        <w:t>a</w:t>
      </w:r>
      <w:proofErr w:type="gramEnd"/>
      <w:r w:rsidRPr="00BA79FC">
        <w:rPr>
          <w:lang w:val="fr-CA"/>
        </w:rPr>
        <w:t xml:space="preserve"> déclaré que l’al. 3(1)</w:t>
      </w:r>
      <w:r w:rsidRPr="00BA79FC">
        <w:rPr>
          <w:i/>
          <w:lang w:val="fr-CA"/>
        </w:rPr>
        <w:t>f</w:t>
      </w:r>
      <w:r w:rsidRPr="00BA79FC">
        <w:rPr>
          <w:lang w:val="fr-CA"/>
        </w:rPr>
        <w:t xml:space="preserve">) visait à rendre la </w:t>
      </w:r>
      <w:r w:rsidRPr="00BA79FC">
        <w:rPr>
          <w:i/>
          <w:lang w:val="fr-CA"/>
        </w:rPr>
        <w:t>Loi du droit d’auteur</w:t>
      </w:r>
      <w:r w:rsidRPr="00BA79FC">
        <w:rPr>
          <w:lang w:val="fr-CA"/>
        </w:rPr>
        <w:t xml:space="preserve"> conforme à la </w:t>
      </w:r>
      <w:r w:rsidRPr="00BA79FC">
        <w:rPr>
          <w:i/>
          <w:lang w:val="fr-CA"/>
        </w:rPr>
        <w:t>Convention de</w:t>
      </w:r>
      <w:r w:rsidRPr="00BA79FC">
        <w:rPr>
          <w:lang w:val="fr-CA"/>
        </w:rPr>
        <w:t xml:space="preserve"> </w:t>
      </w:r>
      <w:r w:rsidRPr="00BA79FC">
        <w:rPr>
          <w:i/>
          <w:lang w:val="fr-CA"/>
        </w:rPr>
        <w:t>Berne</w:t>
      </w:r>
      <w:r w:rsidRPr="00BA79FC">
        <w:rPr>
          <w:lang w:val="fr-CA"/>
        </w:rPr>
        <w:t>, révisée à Rome (</w:t>
      </w:r>
      <w:r w:rsidRPr="00BA79FC">
        <w:rPr>
          <w:i/>
          <w:lang w:val="fr-CA"/>
        </w:rPr>
        <w:t>Débats de la Chambre des communes</w:t>
      </w:r>
      <w:r w:rsidRPr="00BA79FC">
        <w:rPr>
          <w:lang w:val="fr-CA"/>
        </w:rPr>
        <w:t xml:space="preserve">, </w:t>
      </w:r>
      <w:r w:rsidR="00690CB6">
        <w:rPr>
          <w:lang w:val="fr-CA"/>
        </w:rPr>
        <w:t>vol</w:t>
      </w:r>
      <w:r w:rsidRPr="00BA79FC">
        <w:rPr>
          <w:lang w:val="fr-CA"/>
        </w:rPr>
        <w:t>. 1, 2</w:t>
      </w:r>
      <w:r w:rsidRPr="00BA79FC">
        <w:rPr>
          <w:vertAlign w:val="superscript"/>
          <w:lang w:val="fr-CA"/>
        </w:rPr>
        <w:t>e</w:t>
      </w:r>
      <w:r w:rsidR="00172EA6">
        <w:rPr>
          <w:lang w:val="fr-CA"/>
        </w:rPr>
        <w:t xml:space="preserve"> </w:t>
      </w:r>
      <w:proofErr w:type="spellStart"/>
      <w:proofErr w:type="gramStart"/>
      <w:r w:rsidR="00172EA6">
        <w:rPr>
          <w:lang w:val="fr-CA"/>
        </w:rPr>
        <w:t>sess</w:t>
      </w:r>
      <w:proofErr w:type="spellEnd"/>
      <w:r w:rsidR="00172EA6">
        <w:rPr>
          <w:lang w:val="fr-CA"/>
        </w:rPr>
        <w:t>.,</w:t>
      </w:r>
      <w:proofErr w:type="gramEnd"/>
      <w:r w:rsidR="00172EA6">
        <w:rPr>
          <w:lang w:val="fr-CA"/>
        </w:rPr>
        <w:t xml:space="preserve"> 17</w:t>
      </w:r>
      <w:r w:rsidRPr="00172EA6">
        <w:rPr>
          <w:vertAlign w:val="superscript"/>
          <w:lang w:val="fr-CA"/>
        </w:rPr>
        <w:t>e</w:t>
      </w:r>
      <w:r w:rsidRPr="00BA79FC">
        <w:rPr>
          <w:lang w:val="fr-CA"/>
        </w:rPr>
        <w:t xml:space="preserve"> </w:t>
      </w:r>
      <w:proofErr w:type="spellStart"/>
      <w:r w:rsidRPr="00BA79FC">
        <w:rPr>
          <w:lang w:val="fr-CA"/>
        </w:rPr>
        <w:t>lég</w:t>
      </w:r>
      <w:proofErr w:type="spellEnd"/>
      <w:r w:rsidR="00172EA6">
        <w:rPr>
          <w:lang w:val="fr-CA"/>
        </w:rPr>
        <w:t>.</w:t>
      </w:r>
      <w:r w:rsidRPr="00BA79FC">
        <w:rPr>
          <w:lang w:val="fr-CA"/>
        </w:rPr>
        <w:t>, 23 avril 1931, p.</w:t>
      </w:r>
      <w:r w:rsidR="00172EA6">
        <w:rPr>
          <w:lang w:val="fr-CA"/>
        </w:rPr>
        <w:t xml:space="preserve"> 892-893)</w:t>
      </w:r>
      <w:r w:rsidRPr="00BA79FC">
        <w:rPr>
          <w:lang w:val="fr-CA"/>
        </w:rPr>
        <w:t>, et que la « transmission radiophonique » constituait une forme de représentation (en anglais, « </w:t>
      </w:r>
      <w:r w:rsidRPr="00BA79FC">
        <w:rPr>
          <w:i/>
          <w:lang w:val="fr-CA"/>
        </w:rPr>
        <w:t>performance</w:t>
      </w:r>
      <w:r w:rsidRPr="00BA79FC">
        <w:rPr>
          <w:lang w:val="fr-CA"/>
        </w:rPr>
        <w:t> ») :</w:t>
      </w:r>
    </w:p>
    <w:p w:rsidR="00B77AA4" w:rsidRPr="00BA79FC" w:rsidRDefault="00B77AA4" w:rsidP="00B77AA4">
      <w:pPr>
        <w:pStyle w:val="Citation-AltC"/>
        <w:spacing w:after="240"/>
        <w:ind w:hanging="1166"/>
        <w:contextualSpacing w:val="0"/>
        <w:rPr>
          <w:lang w:val="fr-CA"/>
        </w:rPr>
      </w:pPr>
      <w:r w:rsidRPr="00BA79FC">
        <w:rPr>
          <w:lang w:val="fr-CA"/>
        </w:rPr>
        <w:tab/>
        <w:t xml:space="preserve">En Angleterre </w:t>
      </w:r>
      <w:r w:rsidRPr="00BA79FC">
        <w:rPr>
          <w:i/>
          <w:lang w:val="fr-CA"/>
        </w:rPr>
        <w:t>les tribunaux ont décidé que la transmission radiophonique tombe sous le coup du terme « représentation »</w:t>
      </w:r>
      <w:r w:rsidRPr="00BA79FC">
        <w:rPr>
          <w:lang w:val="fr-CA"/>
        </w:rPr>
        <w:t xml:space="preserve">; mais afin d’établir clairement que les droits de l’auteur embrassent non seulement toute reproduction sonore, et le reste, mais aussi la transmission par radiophonie, nous avons ajouté à la définition du terme « représentation » dans le présent texte les mots « ou par transmission radiophonique ». </w:t>
      </w:r>
      <w:r w:rsidR="00172EA6">
        <w:rPr>
          <w:lang w:val="fr-CA"/>
        </w:rPr>
        <w:t>[</w:t>
      </w:r>
      <w:r w:rsidRPr="00BA79FC">
        <w:rPr>
          <w:lang w:val="fr-CA"/>
        </w:rPr>
        <w:t>. . .</w:t>
      </w:r>
      <w:r w:rsidR="00172EA6">
        <w:rPr>
          <w:lang w:val="fr-CA"/>
        </w:rPr>
        <w:t>]</w:t>
      </w:r>
      <w:r w:rsidRPr="00BA79FC">
        <w:rPr>
          <w:lang w:val="fr-CA"/>
        </w:rPr>
        <w:t xml:space="preserve"> J’ajoute simplement les mots : « ou par transmission radiophonique » pour établir clairement que </w:t>
      </w:r>
      <w:r w:rsidRPr="00BA79FC">
        <w:rPr>
          <w:i/>
          <w:lang w:val="fr-CA"/>
        </w:rPr>
        <w:t xml:space="preserve">l’auteur a les mêmes droits </w:t>
      </w:r>
      <w:r w:rsidRPr="00BA79FC">
        <w:rPr>
          <w:i/>
          <w:lang w:val="fr-CA"/>
        </w:rPr>
        <w:lastRenderedPageBreak/>
        <w:t>concernant la radiodiffusion que pour toute autre reproduction de son œuvre</w:t>
      </w:r>
      <w:r w:rsidRPr="00BA79FC">
        <w:rPr>
          <w:lang w:val="fr-CA"/>
        </w:rPr>
        <w:t>.  [Italiques ajoutés.]</w:t>
      </w:r>
    </w:p>
    <w:p w:rsidR="00B77AA4" w:rsidRPr="00BA79FC" w:rsidRDefault="00A2029C" w:rsidP="00B77AA4">
      <w:pPr>
        <w:pStyle w:val="Citation-AltC"/>
        <w:ind w:hanging="1166"/>
        <w:rPr>
          <w:lang w:val="fr-CA"/>
        </w:rPr>
      </w:pPr>
      <w:r>
        <w:rPr>
          <w:lang w:val="fr-CA"/>
        </w:rPr>
        <w:tab/>
        <w:t>(</w:t>
      </w:r>
      <w:proofErr w:type="gramStart"/>
      <w:r>
        <w:rPr>
          <w:lang w:val="fr-CA"/>
        </w:rPr>
        <w:t>vol</w:t>
      </w:r>
      <w:proofErr w:type="gramEnd"/>
      <w:r w:rsidR="00B77AA4" w:rsidRPr="00BA79FC">
        <w:rPr>
          <w:lang w:val="fr-CA"/>
        </w:rPr>
        <w:t xml:space="preserve">. 3, 8 juin 1931, </w:t>
      </w:r>
      <w:r w:rsidR="00172EA6">
        <w:rPr>
          <w:lang w:val="fr-CA"/>
        </w:rPr>
        <w:t>p. 2373-</w:t>
      </w:r>
      <w:r w:rsidR="00B77AA4" w:rsidRPr="00BA79FC">
        <w:rPr>
          <w:lang w:val="fr-CA"/>
        </w:rPr>
        <w:t>2374)</w:t>
      </w:r>
    </w:p>
    <w:p w:rsidR="00B77AA4" w:rsidRPr="00BA79FC" w:rsidRDefault="00B77AA4" w:rsidP="00B77AA4">
      <w:pPr>
        <w:pStyle w:val="ParaNoNdepar-AltN"/>
        <w:rPr>
          <w:lang w:val="fr-CA"/>
        </w:rPr>
      </w:pPr>
      <w:r w:rsidRPr="00BA79FC">
        <w:rPr>
          <w:lang w:val="fr-CA"/>
        </w:rPr>
        <w:t>C’est également ainsi que notre Cour interprète le texte initial de l’al. 3(1)</w:t>
      </w:r>
      <w:r w:rsidRPr="00BA79FC">
        <w:rPr>
          <w:i/>
          <w:lang w:val="fr-CA"/>
        </w:rPr>
        <w:t>f</w:t>
      </w:r>
      <w:r w:rsidRPr="00BA79FC">
        <w:rPr>
          <w:lang w:val="fr-CA"/>
        </w:rPr>
        <w:t xml:space="preserve">) dans l’arrêt </w:t>
      </w:r>
      <w:proofErr w:type="spellStart"/>
      <w:r w:rsidRPr="00BA79FC">
        <w:rPr>
          <w:i/>
          <w:lang w:val="fr-CA"/>
        </w:rPr>
        <w:t>Composers</w:t>
      </w:r>
      <w:proofErr w:type="spellEnd"/>
      <w:r w:rsidRPr="00BA79FC">
        <w:rPr>
          <w:i/>
          <w:lang w:val="fr-CA"/>
        </w:rPr>
        <w:t xml:space="preserve">, </w:t>
      </w:r>
      <w:proofErr w:type="spellStart"/>
      <w:r w:rsidRPr="00BA79FC">
        <w:rPr>
          <w:i/>
          <w:lang w:val="fr-CA"/>
        </w:rPr>
        <w:t>Authors</w:t>
      </w:r>
      <w:proofErr w:type="spellEnd"/>
      <w:r w:rsidRPr="00BA79FC">
        <w:rPr>
          <w:i/>
          <w:lang w:val="fr-CA"/>
        </w:rPr>
        <w:t xml:space="preserve"> and </w:t>
      </w:r>
      <w:proofErr w:type="spellStart"/>
      <w:r w:rsidRPr="00BA79FC">
        <w:rPr>
          <w:i/>
          <w:lang w:val="fr-CA"/>
        </w:rPr>
        <w:t>Publishers</w:t>
      </w:r>
      <w:proofErr w:type="spellEnd"/>
      <w:r w:rsidRPr="00BA79FC">
        <w:rPr>
          <w:i/>
          <w:lang w:val="fr-CA"/>
        </w:rPr>
        <w:t xml:space="preserve"> </w:t>
      </w:r>
      <w:proofErr w:type="spellStart"/>
      <w:r w:rsidRPr="00BA79FC">
        <w:rPr>
          <w:i/>
          <w:lang w:val="fr-CA"/>
        </w:rPr>
        <w:t>Ass</w:t>
      </w:r>
      <w:r w:rsidR="000F65BE">
        <w:rPr>
          <w:i/>
          <w:lang w:val="fr-CA"/>
        </w:rPr>
        <w:t>oc</w:t>
      </w:r>
      <w:proofErr w:type="spellEnd"/>
      <w:r w:rsidRPr="00BA79FC">
        <w:rPr>
          <w:i/>
          <w:lang w:val="fr-CA"/>
        </w:rPr>
        <w:t xml:space="preserve">. of Canada Ltd. c. CTV </w:t>
      </w:r>
      <w:proofErr w:type="spellStart"/>
      <w:r w:rsidRPr="00BA79FC">
        <w:rPr>
          <w:i/>
          <w:lang w:val="fr-CA"/>
        </w:rPr>
        <w:t>Television</w:t>
      </w:r>
      <w:proofErr w:type="spellEnd"/>
      <w:r w:rsidRPr="00BA79FC">
        <w:rPr>
          <w:i/>
          <w:lang w:val="fr-CA"/>
        </w:rPr>
        <w:t xml:space="preserve"> Network Ltd.</w:t>
      </w:r>
      <w:r w:rsidRPr="00BA79FC">
        <w:rPr>
          <w:lang w:val="fr-CA"/>
        </w:rPr>
        <w:t>, [1968] R.C.S. 676.  Elle statue alors que les signaux transmis par CTV à ses stations affiliées ne communiquent pas des</w:t>
      </w:r>
      <w:r w:rsidR="000F65BE">
        <w:rPr>
          <w:lang w:val="fr-CA"/>
        </w:rPr>
        <w:t xml:space="preserve"> </w:t>
      </w:r>
      <w:r w:rsidR="000F65BE" w:rsidRPr="00BA79FC">
        <w:rPr>
          <w:lang w:val="fr-CA"/>
        </w:rPr>
        <w:t>[</w:t>
      </w:r>
      <w:r w:rsidR="000F65BE" w:rsidRPr="00BA79FC">
        <w:rPr>
          <w:smallCaps/>
          <w:lang w:val="fr-CA"/>
        </w:rPr>
        <w:t>traduction</w:t>
      </w:r>
      <w:r w:rsidR="000F65BE" w:rsidRPr="00BA79FC">
        <w:rPr>
          <w:lang w:val="fr-CA"/>
        </w:rPr>
        <w:t xml:space="preserve">] </w:t>
      </w:r>
      <w:r w:rsidRPr="00BA79FC">
        <w:rPr>
          <w:lang w:val="fr-CA"/>
        </w:rPr>
        <w:t xml:space="preserve">« œuvres de musique » </w:t>
      </w:r>
      <w:r w:rsidRPr="00BA79FC">
        <w:rPr>
          <w:rFonts w:cs="Times New Roman"/>
          <w:lang w:val="fr-CA"/>
        </w:rPr>
        <w:t>—</w:t>
      </w:r>
      <w:r w:rsidRPr="00BA79FC">
        <w:rPr>
          <w:lang w:val="fr-CA"/>
        </w:rPr>
        <w:t xml:space="preserve"> alors définies comme étant « manuscrite[s] » </w:t>
      </w:r>
      <w:r w:rsidRPr="00BA79FC">
        <w:rPr>
          <w:rFonts w:cs="Times New Roman"/>
          <w:lang w:val="fr-CA"/>
        </w:rPr>
        <w:t>—,</w:t>
      </w:r>
      <w:r w:rsidRPr="00BA79FC">
        <w:rPr>
          <w:lang w:val="fr-CA"/>
        </w:rPr>
        <w:t xml:space="preserve"> mais communiquent plutôt leur « exécution ».  Dans une remarque incidente, notre </w:t>
      </w:r>
      <w:proofErr w:type="gramStart"/>
      <w:r w:rsidRPr="00BA79FC">
        <w:rPr>
          <w:lang w:val="fr-CA"/>
        </w:rPr>
        <w:t>Cour ajoute</w:t>
      </w:r>
      <w:proofErr w:type="gramEnd"/>
      <w:r w:rsidRPr="00BA79FC">
        <w:rPr>
          <w:lang w:val="fr-CA"/>
        </w:rPr>
        <w:t xml:space="preserve"> que l’art</w:t>
      </w:r>
      <w:r w:rsidR="003B1184">
        <w:rPr>
          <w:lang w:val="fr-CA"/>
        </w:rPr>
        <w:t xml:space="preserve">icle </w:t>
      </w:r>
      <w:r w:rsidRPr="00BA79FC">
        <w:rPr>
          <w:lang w:val="fr-CA"/>
        </w:rPr>
        <w:t>11</w:t>
      </w:r>
      <w:r w:rsidRPr="00BA79FC">
        <w:rPr>
          <w:i/>
          <w:lang w:val="fr-CA"/>
        </w:rPr>
        <w:t>bis</w:t>
      </w:r>
      <w:r w:rsidRPr="00BA79FC">
        <w:rPr>
          <w:lang w:val="fr-CA"/>
        </w:rPr>
        <w:t xml:space="preserve"> de la </w:t>
      </w:r>
      <w:r w:rsidRPr="00BA79FC">
        <w:rPr>
          <w:i/>
          <w:lang w:val="fr-CA"/>
        </w:rPr>
        <w:t>Convention de Rome</w:t>
      </w:r>
      <w:r w:rsidRPr="00BA79FC">
        <w:rPr>
          <w:lang w:val="fr-CA"/>
        </w:rPr>
        <w:t>, dont s’inspirait l’al. 3(1)</w:t>
      </w:r>
      <w:r w:rsidRPr="00BA79FC">
        <w:rPr>
          <w:i/>
          <w:lang w:val="fr-CA"/>
        </w:rPr>
        <w:t>f</w:t>
      </w:r>
      <w:r w:rsidRPr="00BA79FC">
        <w:rPr>
          <w:lang w:val="fr-CA"/>
        </w:rPr>
        <w:t>), vise à englober l’exécution publique par radiodiffusion (p. 680</w:t>
      </w:r>
      <w:r w:rsidR="002F38C1">
        <w:rPr>
          <w:lang w:val="fr-CA"/>
        </w:rPr>
        <w:t>-</w:t>
      </w:r>
      <w:r w:rsidRPr="00BA79FC">
        <w:rPr>
          <w:lang w:val="fr-CA"/>
        </w:rPr>
        <w:t>682)</w:t>
      </w:r>
      <w:r w:rsidR="002D6374">
        <w:rPr>
          <w:lang w:val="fr-CA"/>
        </w:rPr>
        <w:t xml:space="preserve">.  De plus, elle statue que la </w:t>
      </w:r>
      <w:r w:rsidRPr="00BA79FC">
        <w:rPr>
          <w:lang w:val="fr-CA"/>
        </w:rPr>
        <w:t xml:space="preserve">« communication </w:t>
      </w:r>
      <w:r w:rsidR="00172EA6">
        <w:rPr>
          <w:lang w:val="fr-CA"/>
        </w:rPr>
        <w:t>[</w:t>
      </w:r>
      <w:r w:rsidRPr="00BA79FC">
        <w:rPr>
          <w:lang w:val="fr-CA"/>
        </w:rPr>
        <w:t>. . .</w:t>
      </w:r>
      <w:r w:rsidR="00172EA6">
        <w:rPr>
          <w:lang w:val="fr-CA"/>
        </w:rPr>
        <w:t>]</w:t>
      </w:r>
      <w:r w:rsidRPr="00BA79FC">
        <w:rPr>
          <w:lang w:val="fr-CA"/>
        </w:rPr>
        <w:t xml:space="preserve"> peut s’entendre de l’exécution » (p. 681).  </w:t>
      </w:r>
      <w:proofErr w:type="gramStart"/>
      <w:r w:rsidRPr="00BA79FC">
        <w:rPr>
          <w:lang w:val="fr-CA"/>
        </w:rPr>
        <w:t>Elle conclut</w:t>
      </w:r>
      <w:proofErr w:type="gramEnd"/>
      <w:r w:rsidRPr="00BA79FC">
        <w:rPr>
          <w:lang w:val="fr-CA"/>
        </w:rPr>
        <w:t xml:space="preserve"> donc que l’al. 3(1)</w:t>
      </w:r>
      <w:r w:rsidRPr="00BA79FC">
        <w:rPr>
          <w:i/>
          <w:lang w:val="fr-CA"/>
        </w:rPr>
        <w:t>f</w:t>
      </w:r>
      <w:r w:rsidRPr="00BA79FC">
        <w:rPr>
          <w:lang w:val="fr-CA"/>
        </w:rPr>
        <w:t>) doit englober le droit exclusif d’exécution publique par radiodiffusion.</w:t>
      </w:r>
    </w:p>
    <w:p w:rsidR="00B77AA4" w:rsidRPr="00BA79FC" w:rsidRDefault="00B77AA4" w:rsidP="00B77AA4">
      <w:pPr>
        <w:pStyle w:val="ParaNoNdepar-AltN"/>
        <w:rPr>
          <w:lang w:val="fr-CA"/>
        </w:rPr>
      </w:pPr>
      <w:r w:rsidRPr="00BA79FC">
        <w:rPr>
          <w:lang w:val="fr-CA"/>
        </w:rPr>
        <w:t>Après 1931, le texte de l’al. 3(1)</w:t>
      </w:r>
      <w:r w:rsidRPr="00BA79FC">
        <w:rPr>
          <w:i/>
          <w:lang w:val="fr-CA"/>
        </w:rPr>
        <w:t>f</w:t>
      </w:r>
      <w:r w:rsidRPr="00BA79FC">
        <w:rPr>
          <w:lang w:val="fr-CA"/>
        </w:rPr>
        <w:t>) n’a été modifié qu’en 1988 pour devenir le suivant :</w:t>
      </w:r>
    </w:p>
    <w:p w:rsidR="00B77AA4" w:rsidRPr="00BA79FC" w:rsidRDefault="00B77AA4" w:rsidP="00B77AA4">
      <w:pPr>
        <w:pStyle w:val="Citation-AltC"/>
        <w:tabs>
          <w:tab w:val="left" w:pos="1530"/>
        </w:tabs>
        <w:spacing w:after="240"/>
        <w:ind w:hanging="1166"/>
        <w:contextualSpacing w:val="0"/>
        <w:rPr>
          <w:lang w:val="fr-CA"/>
        </w:rPr>
      </w:pPr>
      <w:r w:rsidRPr="00BA79FC">
        <w:rPr>
          <w:i/>
          <w:lang w:val="fr-CA"/>
        </w:rPr>
        <w:tab/>
        <w:t>f</w:t>
      </w:r>
      <w:r w:rsidRPr="00BA79FC">
        <w:rPr>
          <w:lang w:val="fr-CA"/>
        </w:rPr>
        <w:t>)</w:t>
      </w:r>
      <w:r w:rsidRPr="00BA79FC">
        <w:rPr>
          <w:lang w:val="fr-CA"/>
        </w:rPr>
        <w:tab/>
        <w:t xml:space="preserve">de communiquer </w:t>
      </w:r>
      <w:r w:rsidRPr="00BA79FC">
        <w:rPr>
          <w:i/>
          <w:lang w:val="fr-CA"/>
        </w:rPr>
        <w:t>au public</w:t>
      </w:r>
      <w:r w:rsidRPr="00BA79FC">
        <w:rPr>
          <w:lang w:val="fr-CA"/>
        </w:rPr>
        <w:t xml:space="preserve">, par </w:t>
      </w:r>
      <w:r w:rsidRPr="00BA79FC">
        <w:rPr>
          <w:i/>
          <w:lang w:val="fr-CA"/>
        </w:rPr>
        <w:t>télécommunication</w:t>
      </w:r>
      <w:r w:rsidRPr="00BA79FC">
        <w:rPr>
          <w:lang w:val="fr-CA"/>
        </w:rPr>
        <w:t>, une œuvre littéraire, dramatique, musicale ou artistique; . . .</w:t>
      </w:r>
    </w:p>
    <w:p w:rsidR="00B77AA4" w:rsidRPr="00BA79FC" w:rsidRDefault="00B77AA4" w:rsidP="00B77AA4">
      <w:pPr>
        <w:pStyle w:val="Citation-AltC"/>
        <w:tabs>
          <w:tab w:val="left" w:pos="1530"/>
        </w:tabs>
        <w:ind w:hanging="1166"/>
        <w:contextualSpacing w:val="0"/>
        <w:rPr>
          <w:lang w:val="fr-CA"/>
        </w:rPr>
      </w:pPr>
      <w:r w:rsidRPr="00BA79FC">
        <w:rPr>
          <w:i/>
          <w:lang w:val="fr-CA"/>
        </w:rPr>
        <w:tab/>
      </w:r>
      <w:r w:rsidRPr="00BA79FC">
        <w:rPr>
          <w:lang w:val="fr-CA"/>
        </w:rPr>
        <w:t>(</w:t>
      </w:r>
      <w:r w:rsidRPr="00BA79FC">
        <w:rPr>
          <w:i/>
          <w:lang w:val="fr-CA"/>
        </w:rPr>
        <w:t>Loi de mis</w:t>
      </w:r>
      <w:r w:rsidR="00A76E2A">
        <w:rPr>
          <w:i/>
          <w:lang w:val="fr-CA"/>
        </w:rPr>
        <w:t>e en œuvre de l’Accord de libre-</w:t>
      </w:r>
      <w:r w:rsidRPr="00BA79FC">
        <w:rPr>
          <w:i/>
          <w:lang w:val="fr-CA"/>
        </w:rPr>
        <w:t xml:space="preserve">échange Canada </w:t>
      </w:r>
      <w:r w:rsidR="00A76E2A">
        <w:rPr>
          <w:i/>
          <w:lang w:val="fr-CA"/>
        </w:rPr>
        <w:t>— États-</w:t>
      </w:r>
      <w:r w:rsidRPr="00BA79FC">
        <w:rPr>
          <w:i/>
          <w:lang w:val="fr-CA"/>
        </w:rPr>
        <w:t>Unis</w:t>
      </w:r>
      <w:r w:rsidRPr="00BA79FC">
        <w:rPr>
          <w:lang w:val="fr-CA"/>
        </w:rPr>
        <w:t>, L.C. 1988, ch. 65, art. 62</w:t>
      </w:r>
      <w:r w:rsidR="00A76E2A">
        <w:rPr>
          <w:lang w:val="fr-CA"/>
        </w:rPr>
        <w:t>)</w:t>
      </w:r>
      <w:r w:rsidRPr="00BA79FC">
        <w:rPr>
          <w:lang w:val="fr-CA"/>
        </w:rPr>
        <w:t xml:space="preserve"> </w:t>
      </w:r>
    </w:p>
    <w:p w:rsidR="00B77AA4" w:rsidRPr="00BA79FC" w:rsidRDefault="00B77AA4" w:rsidP="00B77AA4">
      <w:pPr>
        <w:pStyle w:val="ParaNoNdepar-AltN"/>
        <w:rPr>
          <w:lang w:val="fr-CA"/>
        </w:rPr>
      </w:pPr>
      <w:r w:rsidRPr="00BA79FC">
        <w:rPr>
          <w:lang w:val="fr-CA"/>
        </w:rPr>
        <w:lastRenderedPageBreak/>
        <w:t>La SOCAN allègue que cette modification (substituant à l’expression « au moyen de la radiophonie » le terme « par télécommunication ») atteste l’intention du législateur de supprimer, à l’al. 3(1)</w:t>
      </w:r>
      <w:r w:rsidRPr="00BA79FC">
        <w:rPr>
          <w:i/>
          <w:lang w:val="fr-CA"/>
        </w:rPr>
        <w:t>f</w:t>
      </w:r>
      <w:r w:rsidRPr="00BA79FC">
        <w:rPr>
          <w:lang w:val="fr-CA"/>
        </w:rPr>
        <w:t xml:space="preserve">), </w:t>
      </w:r>
      <w:r w:rsidRPr="00BA79FC">
        <w:rPr>
          <w:i/>
          <w:lang w:val="fr-CA"/>
        </w:rPr>
        <w:t>toute</w:t>
      </w:r>
      <w:r w:rsidRPr="00BA79FC">
        <w:rPr>
          <w:lang w:val="fr-CA"/>
        </w:rPr>
        <w:t xml:space="preserve"> mention des activités traditionnelles d’exécution ou de représentation, ou encore, de radiodiffusion, et d’étendre la portée du droit de communication de manière à englober les technologies comportant la transmission de données qui permettent à l’utilisateur de conserver une copie permanente de l’œuvre.</w:t>
      </w:r>
    </w:p>
    <w:p w:rsidR="00B77AA4" w:rsidRPr="00BA79FC" w:rsidRDefault="00B77AA4" w:rsidP="00B77AA4">
      <w:pPr>
        <w:pStyle w:val="ParaNoNdepar-AltN"/>
        <w:rPr>
          <w:lang w:val="fr-CA"/>
        </w:rPr>
      </w:pPr>
      <w:r w:rsidRPr="00BA79FC">
        <w:rPr>
          <w:lang w:val="fr-CA"/>
        </w:rPr>
        <w:t>Avec égards, nous ne somme</w:t>
      </w:r>
      <w:r w:rsidR="002D4433">
        <w:rPr>
          <w:lang w:val="fr-CA"/>
        </w:rPr>
        <w:t>s</w:t>
      </w:r>
      <w:r w:rsidRPr="00BA79FC">
        <w:rPr>
          <w:lang w:val="fr-CA"/>
        </w:rPr>
        <w:t xml:space="preserve"> pas de cet avis.  Les modifications de 1988 découlant </w:t>
      </w:r>
      <w:proofErr w:type="gramStart"/>
      <w:r w:rsidRPr="00BA79FC">
        <w:rPr>
          <w:lang w:val="fr-CA"/>
        </w:rPr>
        <w:t>des art</w:t>
      </w:r>
      <w:proofErr w:type="gramEnd"/>
      <w:r w:rsidRPr="00BA79FC">
        <w:rPr>
          <w:lang w:val="fr-CA"/>
        </w:rPr>
        <w:t>. 61</w:t>
      </w:r>
      <w:r w:rsidRPr="00BA79FC">
        <w:rPr>
          <w:rFonts w:cs="Times New Roman"/>
          <w:lang w:val="fr-CA"/>
        </w:rPr>
        <w:t xml:space="preserve"> à</w:t>
      </w:r>
      <w:r w:rsidRPr="00BA79FC">
        <w:rPr>
          <w:lang w:val="fr-CA"/>
        </w:rPr>
        <w:t xml:space="preserve"> 65 de la </w:t>
      </w:r>
      <w:r w:rsidRPr="00BA79FC">
        <w:rPr>
          <w:i/>
          <w:lang w:val="fr-CA"/>
        </w:rPr>
        <w:t>Loi de mise en œuvre de l’Accord de libre</w:t>
      </w:r>
      <w:r w:rsidR="002F38C1">
        <w:rPr>
          <w:i/>
          <w:lang w:val="fr-CA"/>
        </w:rPr>
        <w:t>-</w:t>
      </w:r>
      <w:r w:rsidRPr="00BA79FC">
        <w:rPr>
          <w:i/>
          <w:lang w:val="fr-CA"/>
        </w:rPr>
        <w:t>échange Canad</w:t>
      </w:r>
      <w:r w:rsidR="00AB4016">
        <w:rPr>
          <w:i/>
          <w:lang w:val="fr-CA"/>
        </w:rPr>
        <w:t xml:space="preserve">a </w:t>
      </w:r>
      <w:r w:rsidR="00AB4016">
        <w:rPr>
          <w:rFonts w:cs="Times New Roman"/>
          <w:i/>
          <w:lang w:val="fr-CA"/>
        </w:rPr>
        <w:t>—</w:t>
      </w:r>
      <w:r w:rsidR="00AB4016">
        <w:rPr>
          <w:i/>
          <w:lang w:val="fr-CA"/>
        </w:rPr>
        <w:t xml:space="preserve"> États-</w:t>
      </w:r>
      <w:r w:rsidRPr="00BA79FC">
        <w:rPr>
          <w:i/>
          <w:lang w:val="fr-CA"/>
        </w:rPr>
        <w:t>Unis</w:t>
      </w:r>
      <w:r w:rsidRPr="00BA79FC">
        <w:rPr>
          <w:lang w:val="fr-CA"/>
        </w:rPr>
        <w:t xml:space="preserve"> visaient à donner effet </w:t>
      </w:r>
      <w:proofErr w:type="gramStart"/>
      <w:r w:rsidRPr="00BA79FC">
        <w:rPr>
          <w:lang w:val="fr-CA"/>
        </w:rPr>
        <w:t>aux art</w:t>
      </w:r>
      <w:proofErr w:type="gramEnd"/>
      <w:r w:rsidRPr="00BA79FC">
        <w:rPr>
          <w:lang w:val="fr-CA"/>
        </w:rPr>
        <w:t>. 2005 et 2006 de l’</w:t>
      </w:r>
      <w:r w:rsidRPr="00BA79FC">
        <w:rPr>
          <w:i/>
          <w:lang w:val="fr-CA"/>
        </w:rPr>
        <w:t>Accord de libre</w:t>
      </w:r>
      <w:r w:rsidR="003B1184">
        <w:rPr>
          <w:i/>
          <w:lang w:val="fr-CA"/>
        </w:rPr>
        <w:t>-</w:t>
      </w:r>
      <w:r w:rsidRPr="00BA79FC">
        <w:rPr>
          <w:i/>
          <w:lang w:val="fr-CA"/>
        </w:rPr>
        <w:t xml:space="preserve">échange </w:t>
      </w:r>
      <w:r w:rsidR="00AB4016">
        <w:rPr>
          <w:i/>
          <w:lang w:val="fr-CA"/>
        </w:rPr>
        <w:t>entre le Canada et les États-</w:t>
      </w:r>
      <w:r w:rsidRPr="00BA79FC">
        <w:rPr>
          <w:i/>
          <w:lang w:val="fr-CA"/>
        </w:rPr>
        <w:t>Unis</w:t>
      </w:r>
      <w:r w:rsidRPr="00BA79FC">
        <w:rPr>
          <w:lang w:val="fr-CA"/>
        </w:rPr>
        <w:t xml:space="preserve"> de 1987 : voir </w:t>
      </w:r>
      <w:proofErr w:type="spellStart"/>
      <w:r w:rsidR="00AB4016">
        <w:rPr>
          <w:i/>
          <w:lang w:val="fr-CA"/>
        </w:rPr>
        <w:t>Assoc</w:t>
      </w:r>
      <w:proofErr w:type="spellEnd"/>
      <w:r w:rsidR="00AB4016">
        <w:rPr>
          <w:i/>
          <w:lang w:val="fr-CA"/>
        </w:rPr>
        <w:t>.</w:t>
      </w:r>
      <w:r w:rsidRPr="00BA79FC">
        <w:rPr>
          <w:i/>
          <w:lang w:val="fr-CA"/>
        </w:rPr>
        <w:t xml:space="preserve"> canadienne des télécommunications sans fil c. Société canadienne des auteurs, compositeurs et éditeurs de musique</w:t>
      </w:r>
      <w:r w:rsidRPr="00BA79FC">
        <w:rPr>
          <w:lang w:val="fr-CA"/>
        </w:rPr>
        <w:t>, 200</w:t>
      </w:r>
      <w:r w:rsidR="00AB4016">
        <w:rPr>
          <w:lang w:val="fr-CA"/>
        </w:rPr>
        <w:t>8 CAF 6, [2008] 3 R.C.F. 539 (</w:t>
      </w:r>
      <w:r w:rsidRPr="00BA79FC">
        <w:rPr>
          <w:i/>
          <w:lang w:val="fr-CA"/>
        </w:rPr>
        <w:t>ACTSF c. SOCAN</w:t>
      </w:r>
      <w:r w:rsidRPr="00BA79FC">
        <w:rPr>
          <w:lang w:val="fr-CA"/>
        </w:rPr>
        <w:t>), par. 27.  Avant cet accord, les tribunaux canadiens avaient statué que, pour l’application de l’ancien al. 3(1)</w:t>
      </w:r>
      <w:r w:rsidRPr="00BA79FC">
        <w:rPr>
          <w:i/>
          <w:lang w:val="fr-CA"/>
        </w:rPr>
        <w:t>f</w:t>
      </w:r>
      <w:r w:rsidRPr="00BA79FC">
        <w:rPr>
          <w:lang w:val="fr-CA"/>
        </w:rPr>
        <w:t xml:space="preserve">), la « radiophonie » s’entendait seulement des ondes hertziennes, </w:t>
      </w:r>
      <w:r w:rsidRPr="00BA79FC">
        <w:rPr>
          <w:i/>
          <w:lang w:val="fr-CA"/>
        </w:rPr>
        <w:t>pas</w:t>
      </w:r>
      <w:r w:rsidRPr="00BA79FC">
        <w:rPr>
          <w:lang w:val="fr-CA"/>
        </w:rPr>
        <w:t xml:space="preserve"> de la communication par câbles coaxiaux : </w:t>
      </w:r>
      <w:r w:rsidRPr="00BA79FC">
        <w:rPr>
          <w:i/>
          <w:lang w:val="fr-CA"/>
        </w:rPr>
        <w:t xml:space="preserve">Canadian </w:t>
      </w:r>
      <w:proofErr w:type="spellStart"/>
      <w:r w:rsidRPr="00BA79FC">
        <w:rPr>
          <w:i/>
          <w:lang w:val="fr-CA"/>
        </w:rPr>
        <w:t>Admiral</w:t>
      </w:r>
      <w:proofErr w:type="spellEnd"/>
      <w:r w:rsidRPr="00BA79FC">
        <w:rPr>
          <w:i/>
          <w:lang w:val="fr-CA"/>
        </w:rPr>
        <w:t xml:space="preserve"> Corp</w:t>
      </w:r>
      <w:r w:rsidR="00AB4016">
        <w:rPr>
          <w:i/>
          <w:lang w:val="fr-CA"/>
        </w:rPr>
        <w:t>.</w:t>
      </w:r>
      <w:r w:rsidR="003B1184">
        <w:rPr>
          <w:i/>
          <w:lang w:val="fr-CA"/>
        </w:rPr>
        <w:t xml:space="preserve"> c</w:t>
      </w:r>
      <w:r w:rsidRPr="00BA79FC">
        <w:rPr>
          <w:i/>
          <w:lang w:val="fr-CA"/>
        </w:rPr>
        <w:t>. Rediffusion</w:t>
      </w:r>
      <w:r w:rsidR="003B1184">
        <w:rPr>
          <w:i/>
          <w:lang w:val="fr-CA"/>
        </w:rPr>
        <w:t>,</w:t>
      </w:r>
      <w:r w:rsidRPr="00BA79FC">
        <w:rPr>
          <w:i/>
          <w:lang w:val="fr-CA"/>
        </w:rPr>
        <w:t xml:space="preserve"> Inc.</w:t>
      </w:r>
      <w:r w:rsidRPr="00BA79FC">
        <w:rPr>
          <w:lang w:val="fr-CA"/>
        </w:rPr>
        <w:t>, [1954] R.C.</w:t>
      </w:r>
      <w:r w:rsidR="00AB4016">
        <w:rPr>
          <w:lang w:val="fr-CA"/>
        </w:rPr>
        <w:t xml:space="preserve"> de l’</w:t>
      </w:r>
      <w:r w:rsidRPr="00BA79FC">
        <w:rPr>
          <w:lang w:val="fr-CA"/>
        </w:rPr>
        <w:t>É. 382, p. 410.  L’</w:t>
      </w:r>
      <w:r w:rsidRPr="00BA79FC">
        <w:rPr>
          <w:rFonts w:cs="Times New Roman"/>
          <w:lang w:val="fr-CA"/>
        </w:rPr>
        <w:t xml:space="preserve">accord obligeait </w:t>
      </w:r>
      <w:r w:rsidRPr="00BA79FC">
        <w:rPr>
          <w:lang w:val="fr-CA"/>
        </w:rPr>
        <w:t>toutefois</w:t>
      </w:r>
      <w:r w:rsidRPr="00BA79FC">
        <w:rPr>
          <w:rFonts w:cs="Times New Roman"/>
          <w:lang w:val="fr-CA"/>
        </w:rPr>
        <w:t xml:space="preserve"> le Canada à indemniser les titulaires de droit d’auteur pour la retransmission de signaux de télévision par câble.  Les modification</w:t>
      </w:r>
      <w:r w:rsidRPr="00BA79FC">
        <w:rPr>
          <w:lang w:val="fr-CA"/>
        </w:rPr>
        <w:t>s avaient donc pour but de faire en sorte que l’al. 3(1)</w:t>
      </w:r>
      <w:r w:rsidRPr="00BA79FC">
        <w:rPr>
          <w:i/>
          <w:lang w:val="fr-CA"/>
        </w:rPr>
        <w:t>f</w:t>
      </w:r>
      <w:r w:rsidRPr="00BA79FC">
        <w:rPr>
          <w:lang w:val="fr-CA"/>
        </w:rPr>
        <w:t>) vise</w:t>
      </w:r>
      <w:r w:rsidR="00AB4016">
        <w:rPr>
          <w:lang w:val="fr-CA"/>
        </w:rPr>
        <w:t xml:space="preserve"> </w:t>
      </w:r>
      <w:r w:rsidRPr="00BA79FC">
        <w:rPr>
          <w:lang w:val="fr-CA"/>
        </w:rPr>
        <w:t xml:space="preserve">les câblodistributeurs, et non uniquement les radiodiffuseurs : John S. </w:t>
      </w:r>
      <w:proofErr w:type="spellStart"/>
      <w:r w:rsidRPr="00BA79FC">
        <w:rPr>
          <w:lang w:val="fr-CA"/>
        </w:rPr>
        <w:t>McKeown</w:t>
      </w:r>
      <w:proofErr w:type="spellEnd"/>
      <w:r w:rsidRPr="00BA79FC">
        <w:rPr>
          <w:lang w:val="fr-CA"/>
        </w:rPr>
        <w:t xml:space="preserve">, </w:t>
      </w:r>
      <w:r w:rsidRPr="00BA79FC">
        <w:rPr>
          <w:i/>
          <w:lang w:val="fr-CA"/>
        </w:rPr>
        <w:t xml:space="preserve">Fox on Canadian Law of Copyright and </w:t>
      </w:r>
      <w:proofErr w:type="spellStart"/>
      <w:r w:rsidRPr="00BA79FC">
        <w:rPr>
          <w:i/>
          <w:lang w:val="fr-CA"/>
        </w:rPr>
        <w:t>Industrial</w:t>
      </w:r>
      <w:proofErr w:type="spellEnd"/>
      <w:r w:rsidRPr="00BA79FC">
        <w:rPr>
          <w:i/>
          <w:lang w:val="fr-CA"/>
        </w:rPr>
        <w:t xml:space="preserve"> Designs </w:t>
      </w:r>
      <w:r w:rsidRPr="00BA79FC">
        <w:rPr>
          <w:lang w:val="fr-CA"/>
        </w:rPr>
        <w:t>(4</w:t>
      </w:r>
      <w:r w:rsidRPr="00BA79FC">
        <w:rPr>
          <w:vertAlign w:val="superscript"/>
          <w:lang w:val="fr-CA"/>
        </w:rPr>
        <w:t>e</w:t>
      </w:r>
      <w:r w:rsidRPr="00BA79FC">
        <w:rPr>
          <w:lang w:val="fr-CA"/>
        </w:rPr>
        <w:t> éd. (feuilles mobiles)), p. 21</w:t>
      </w:r>
      <w:r w:rsidR="002F38C1">
        <w:rPr>
          <w:lang w:val="fr-CA"/>
        </w:rPr>
        <w:t>-</w:t>
      </w:r>
      <w:r w:rsidRPr="00BA79FC">
        <w:rPr>
          <w:lang w:val="fr-CA"/>
        </w:rPr>
        <w:t>86, 21</w:t>
      </w:r>
      <w:r w:rsidR="002F38C1">
        <w:rPr>
          <w:lang w:val="fr-CA"/>
        </w:rPr>
        <w:t>-</w:t>
      </w:r>
      <w:r w:rsidRPr="00BA79FC">
        <w:rPr>
          <w:lang w:val="fr-CA"/>
        </w:rPr>
        <w:t>87 et 29</w:t>
      </w:r>
      <w:r w:rsidR="002F38C1">
        <w:rPr>
          <w:lang w:val="fr-CA"/>
        </w:rPr>
        <w:t>-</w:t>
      </w:r>
      <w:r w:rsidRPr="00BA79FC">
        <w:rPr>
          <w:lang w:val="fr-CA"/>
        </w:rPr>
        <w:t>1.</w:t>
      </w:r>
    </w:p>
    <w:p w:rsidR="00B77AA4" w:rsidRPr="00BA79FC" w:rsidRDefault="00B77AA4" w:rsidP="00B77AA4">
      <w:pPr>
        <w:pStyle w:val="ParaNoNdepar-AltN"/>
        <w:rPr>
          <w:lang w:val="fr-CA"/>
        </w:rPr>
      </w:pPr>
      <w:r w:rsidRPr="00BA79FC">
        <w:rPr>
          <w:rFonts w:cs="Times New Roman"/>
          <w:lang w:val="fr-CA"/>
        </w:rPr>
        <w:lastRenderedPageBreak/>
        <w:t xml:space="preserve">Dans ce contexte, on ne doit voir dans le remplacement de « radiophonie » par « télécommunication » que l’élargissement des </w:t>
      </w:r>
      <w:r w:rsidRPr="00BA79FC">
        <w:rPr>
          <w:rFonts w:cs="Times New Roman"/>
          <w:i/>
          <w:lang w:val="fr-CA"/>
        </w:rPr>
        <w:t>modes de communication</w:t>
      </w:r>
      <w:r w:rsidRPr="00BA79FC">
        <w:rPr>
          <w:rFonts w:cs="Times New Roman"/>
          <w:lang w:val="fr-CA"/>
        </w:rPr>
        <w:t xml:space="preserve"> d’une œuvre, de sorte qu’aux ondes radio (« au moyen de la radiophonie ») s’ajoutent la câblodistribution puis les nouvelles technologies ultérieures (« au public, par télécommunication »).  À notre a</w:t>
      </w:r>
      <w:r w:rsidRPr="00BA79FC">
        <w:rPr>
          <w:lang w:val="fr-CA"/>
        </w:rPr>
        <w:t xml:space="preserve">vis, lorsqu’il a substitué le mot « télécommunication » en 1988, le législateur n’avait pas l’intention de changer la nature fondamentale du droit de communication, lequel se rapportait depuis plus de 50 ans aux activités d’exécution ou de représentation.  En fait, il a seulement modifié les </w:t>
      </w:r>
      <w:r w:rsidRPr="00BA79FC">
        <w:rPr>
          <w:i/>
          <w:lang w:val="fr-CA"/>
        </w:rPr>
        <w:t>modes de transmission</w:t>
      </w:r>
      <w:r w:rsidRPr="00BA79FC">
        <w:rPr>
          <w:lang w:val="fr-CA"/>
        </w:rPr>
        <w:t xml:space="preserve"> de la communication.  Dans la version anglaise, le mot « </w:t>
      </w:r>
      <w:proofErr w:type="spellStart"/>
      <w:r w:rsidRPr="00BA79FC">
        <w:rPr>
          <w:i/>
          <w:lang w:val="fr-CA"/>
        </w:rPr>
        <w:t>communicate</w:t>
      </w:r>
      <w:proofErr w:type="spellEnd"/>
      <w:r w:rsidRPr="00BA79FC">
        <w:rPr>
          <w:lang w:val="fr-CA"/>
        </w:rPr>
        <w:t> » n’a jamais été remplacé.</w:t>
      </w:r>
    </w:p>
    <w:p w:rsidR="00B77AA4" w:rsidRPr="00BA79FC" w:rsidRDefault="00B77AA4" w:rsidP="00B77AA4">
      <w:pPr>
        <w:pStyle w:val="ParaNoNdepar-AltN"/>
        <w:rPr>
          <w:lang w:val="fr-CA"/>
        </w:rPr>
      </w:pPr>
      <w:r w:rsidRPr="00BA79FC">
        <w:rPr>
          <w:lang w:val="fr-CA"/>
        </w:rPr>
        <w:t>L’ajout des mots « au public » à l’al. 3(1)</w:t>
      </w:r>
      <w:r w:rsidRPr="00BA79FC">
        <w:rPr>
          <w:i/>
          <w:lang w:val="fr-CA"/>
        </w:rPr>
        <w:t>f</w:t>
      </w:r>
      <w:r w:rsidRPr="00BA79FC">
        <w:rPr>
          <w:lang w:val="fr-CA"/>
        </w:rPr>
        <w:t>) nous conforte dans cette interprétation des modifications de 1988.  Avant celles</w:t>
      </w:r>
      <w:r w:rsidR="002F38C1">
        <w:rPr>
          <w:lang w:val="fr-CA"/>
        </w:rPr>
        <w:t>-</w:t>
      </w:r>
      <w:r w:rsidRPr="00BA79FC">
        <w:rPr>
          <w:lang w:val="fr-CA"/>
        </w:rPr>
        <w:t xml:space="preserve">ci, il ne faisait aucun doute que toutes les communications étaient destinées « au public » puisque la diffusion par ondes hertziennes était nécessairement de nature publique.  Or, le terme « télécommunication » risquait de créer une ambiguïté dans la </w:t>
      </w:r>
      <w:r w:rsidRPr="002D4433">
        <w:rPr>
          <w:i/>
          <w:lang w:val="fr-CA"/>
        </w:rPr>
        <w:t>Loi</w:t>
      </w:r>
      <w:r w:rsidRPr="00BA79FC">
        <w:rPr>
          <w:lang w:val="fr-CA"/>
        </w:rPr>
        <w:t>, car la télécommunication pouvait également s’entendre d’une communication privée.  En juxtaposant « au public » avant « télécommunication », le législateur a clairement signifié son intention que le droit de communication demeure un droit d’exécution ou de représentation.</w:t>
      </w:r>
    </w:p>
    <w:p w:rsidR="00B77AA4" w:rsidRPr="00BA79FC" w:rsidRDefault="00B77AA4" w:rsidP="00B77AA4">
      <w:pPr>
        <w:pStyle w:val="ParaNoNdepar-AltN"/>
        <w:tabs>
          <w:tab w:val="clear" w:pos="1152"/>
          <w:tab w:val="left" w:pos="1166"/>
        </w:tabs>
        <w:rPr>
          <w:lang w:val="fr-CA"/>
        </w:rPr>
      </w:pPr>
      <w:r w:rsidRPr="00BA79FC">
        <w:rPr>
          <w:lang w:val="fr-CA"/>
        </w:rPr>
        <w:t xml:space="preserve">Par conséquent, nous partageons l’avis du juge </w:t>
      </w:r>
      <w:proofErr w:type="spellStart"/>
      <w:r w:rsidRPr="00BA79FC">
        <w:rPr>
          <w:lang w:val="fr-CA"/>
        </w:rPr>
        <w:t>Rothstein</w:t>
      </w:r>
      <w:proofErr w:type="spellEnd"/>
      <w:r w:rsidRPr="00BA79FC">
        <w:rPr>
          <w:lang w:val="fr-CA"/>
        </w:rPr>
        <w:t xml:space="preserve"> (par. 98) selon lequel il existe, dans la</w:t>
      </w:r>
      <w:r w:rsidRPr="00BA79FC">
        <w:rPr>
          <w:i/>
          <w:lang w:val="fr-CA"/>
        </w:rPr>
        <w:t xml:space="preserve"> Loi sur le droit d’auteur</w:t>
      </w:r>
      <w:r w:rsidRPr="00BA79FC">
        <w:rPr>
          <w:lang w:val="fr-CA"/>
        </w:rPr>
        <w:t xml:space="preserve">, un « lien historique » entre le droit </w:t>
      </w:r>
      <w:r w:rsidRPr="00BA79FC">
        <w:rPr>
          <w:lang w:val="fr-CA"/>
        </w:rPr>
        <w:lastRenderedPageBreak/>
        <w:t xml:space="preserve">d’exécution ou de représentation et le droit de communication, mais nous ne souscrivons pas à </w:t>
      </w:r>
      <w:r w:rsidRPr="00BA79FC">
        <w:rPr>
          <w:lang w:val="fr-CA" w:bidi="en-US"/>
        </w:rPr>
        <w:t>sa conclusion voulant que, au vu des modifications de 1988, le législateur ait voulu rompre ce lien.  Selon nous, le lien historique entre communication et exécution ou représentation subsiste de nos jours.  Soit dit en tout respect, la</w:t>
      </w:r>
      <w:r w:rsidRPr="00BA79FC">
        <w:rPr>
          <w:lang w:val="fr-CA"/>
        </w:rPr>
        <w:t xml:space="preserve"> Commission fait abstraction de son existence lorsqu’elle conclut que la transmission du téléchargement d’une œuvre musicale sur Internet peut équivaloir à une « communication ».</w:t>
      </w:r>
    </w:p>
    <w:p w:rsidR="00B77AA4" w:rsidRPr="00BA79FC" w:rsidRDefault="00B77AA4" w:rsidP="00B77AA4">
      <w:pPr>
        <w:pStyle w:val="ParaNoNdepar-AltN"/>
        <w:tabs>
          <w:tab w:val="clear" w:pos="1152"/>
          <w:tab w:val="left" w:pos="1166"/>
        </w:tabs>
        <w:rPr>
          <w:lang w:val="fr-CA"/>
        </w:rPr>
      </w:pPr>
      <w:r w:rsidRPr="00BA79FC">
        <w:rPr>
          <w:lang w:val="fr-CA"/>
        </w:rPr>
        <w:t xml:space="preserve">La conclusion de la Commission repose en partie sur le point de vue erroné voulant qu’on ne puisse distinguer le « téléchargement » de la « transmission en continu ».  Bien que les deux constituent des « transmissions » sur le plan technique (l’un et l’autre utilisent la « technologie de transmission des données par paquets »), les deux ne sont pas des « communications » pour l’application de la </w:t>
      </w:r>
      <w:r w:rsidRPr="00BA79FC">
        <w:rPr>
          <w:i/>
          <w:lang w:val="fr-CA"/>
        </w:rPr>
        <w:t>Loi sur le droit d’auteur</w:t>
      </w:r>
      <w:r w:rsidRPr="00BA79FC">
        <w:rPr>
          <w:lang w:val="fr-CA"/>
        </w:rPr>
        <w:t>.  C’est ce qui ressort de la définition de transmission en continu retenue par la Commission : « une transmission de données permettant à l’usager d’entendre ou de voir le contenu au moment de la transmission et qui n’est pas destinée à la reproduction » (par. 15).  À la différence du téléchargement, la transmission en continu s’apparente plutôt à la radiodiffusion ou à l’exécution ou représentation.</w:t>
      </w:r>
    </w:p>
    <w:p w:rsidR="00B77AA4" w:rsidRPr="00BA79FC" w:rsidRDefault="00B77AA4" w:rsidP="00B77AA4">
      <w:pPr>
        <w:pStyle w:val="ParaNoNdepar-AltN"/>
        <w:tabs>
          <w:tab w:val="clear" w:pos="1152"/>
          <w:tab w:val="left" w:pos="1166"/>
        </w:tabs>
        <w:rPr>
          <w:lang w:val="fr-CA"/>
        </w:rPr>
      </w:pPr>
      <w:r w:rsidRPr="00BA79FC">
        <w:rPr>
          <w:lang w:val="fr-CA"/>
        </w:rPr>
        <w:t xml:space="preserve">La Commission semble également se fonder sur l’arrêt </w:t>
      </w:r>
      <w:r w:rsidRPr="00BA79FC">
        <w:rPr>
          <w:i/>
          <w:lang w:val="fr-CA"/>
        </w:rPr>
        <w:t xml:space="preserve">Société canadienne des auteurs, compositeurs et éditeurs de musique c. </w:t>
      </w:r>
      <w:proofErr w:type="spellStart"/>
      <w:r w:rsidRPr="00BA79FC">
        <w:rPr>
          <w:i/>
          <w:lang w:val="fr-CA"/>
        </w:rPr>
        <w:t>Assoc</w:t>
      </w:r>
      <w:proofErr w:type="spellEnd"/>
      <w:r w:rsidRPr="00BA79FC">
        <w:rPr>
          <w:i/>
          <w:lang w:val="fr-CA"/>
        </w:rPr>
        <w:t>. canadienne des fournisseurs Internet</w:t>
      </w:r>
      <w:r w:rsidRPr="00BA79FC">
        <w:rPr>
          <w:lang w:val="fr-CA"/>
        </w:rPr>
        <w:t>, [2004] 2 R.C.S. 427 (</w:t>
      </w:r>
      <w:r w:rsidRPr="00BA79FC">
        <w:rPr>
          <w:i/>
          <w:lang w:val="fr-CA"/>
        </w:rPr>
        <w:t>SOCAN c. ACFI</w:t>
      </w:r>
      <w:r w:rsidRPr="00BA79FC">
        <w:rPr>
          <w:lang w:val="fr-CA"/>
        </w:rPr>
        <w:t xml:space="preserve">), où le juge Binnie </w:t>
      </w:r>
      <w:r w:rsidRPr="00BA79FC">
        <w:rPr>
          <w:lang w:val="fr-CA"/>
        </w:rPr>
        <w:lastRenderedPageBreak/>
        <w:t xml:space="preserve">fait observer que l’œuvre a nécessairement été « communiquée » lorsque, « [à] l’issue de la transmission, l’utilisateur final a en sa possession une œuvre musicale qu’il n’avait pas auparavant » (par. 45), et sur l’arrêt </w:t>
      </w:r>
      <w:r w:rsidRPr="00BA79FC">
        <w:rPr>
          <w:i/>
          <w:lang w:val="fr-CA"/>
        </w:rPr>
        <w:t>ACTSF c. SOCAN</w:t>
      </w:r>
      <w:r w:rsidRPr="00BA79FC">
        <w:rPr>
          <w:lang w:val="fr-CA"/>
        </w:rPr>
        <w:t xml:space="preserve">, dans lequel la juge </w:t>
      </w:r>
      <w:proofErr w:type="spellStart"/>
      <w:r w:rsidRPr="00BA79FC">
        <w:rPr>
          <w:lang w:val="fr-CA"/>
        </w:rPr>
        <w:t>Sharlow</w:t>
      </w:r>
      <w:proofErr w:type="spellEnd"/>
      <w:r w:rsidRPr="00BA79FC">
        <w:rPr>
          <w:lang w:val="fr-CA"/>
        </w:rPr>
        <w:t xml:space="preserve">, invoquant l’arrêt </w:t>
      </w:r>
      <w:r w:rsidRPr="00BA79FC">
        <w:rPr>
          <w:i/>
          <w:lang w:val="fr-CA"/>
        </w:rPr>
        <w:t>SOCAN c. ACFI</w:t>
      </w:r>
      <w:r w:rsidRPr="00BA79FC">
        <w:rPr>
          <w:lang w:val="fr-CA"/>
        </w:rPr>
        <w:t>, affirme que la « </w:t>
      </w:r>
      <w:r w:rsidR="002D4433">
        <w:rPr>
          <w:rFonts w:cs="Times New Roman"/>
          <w:lang w:val="fr-CA"/>
        </w:rPr>
        <w:t>“</w:t>
      </w:r>
      <w:r w:rsidR="002D4433">
        <w:rPr>
          <w:lang w:val="fr-CA"/>
        </w:rPr>
        <w:t>communication</w:t>
      </w:r>
      <w:r w:rsidR="002D4433">
        <w:rPr>
          <w:rFonts w:cs="Times New Roman"/>
          <w:lang w:val="fr-CA"/>
        </w:rPr>
        <w:t>”</w:t>
      </w:r>
      <w:r w:rsidRPr="00BA79FC">
        <w:rPr>
          <w:lang w:val="fr-CA"/>
        </w:rPr>
        <w:t xml:space="preserve"> s’entend de la transmission d’informations d’une personne à une autre » (par. 19</w:t>
      </w:r>
      <w:r w:rsidR="002F38C1">
        <w:rPr>
          <w:lang w:val="fr-CA"/>
        </w:rPr>
        <w:t>-</w:t>
      </w:r>
      <w:r w:rsidRPr="00BA79FC">
        <w:rPr>
          <w:lang w:val="fr-CA"/>
        </w:rPr>
        <w:t>20).</w:t>
      </w:r>
    </w:p>
    <w:p w:rsidR="00B77AA4" w:rsidRPr="00BA79FC" w:rsidRDefault="00B77AA4" w:rsidP="00B77AA4">
      <w:pPr>
        <w:pStyle w:val="ParaNoNdepar-AltN"/>
        <w:tabs>
          <w:tab w:val="clear" w:pos="1152"/>
          <w:tab w:val="left" w:pos="1166"/>
        </w:tabs>
        <w:rPr>
          <w:lang w:val="fr-CA"/>
        </w:rPr>
      </w:pPr>
      <w:r w:rsidRPr="00BA79FC">
        <w:rPr>
          <w:lang w:val="fr-CA"/>
        </w:rPr>
        <w:t xml:space="preserve">Toutefois, comme le souligne le juge </w:t>
      </w:r>
      <w:proofErr w:type="spellStart"/>
      <w:r w:rsidRPr="00BA79FC">
        <w:rPr>
          <w:lang w:val="fr-CA"/>
        </w:rPr>
        <w:t>Rothstein</w:t>
      </w:r>
      <w:proofErr w:type="spellEnd"/>
      <w:r w:rsidRPr="00BA79FC">
        <w:rPr>
          <w:lang w:val="fr-CA"/>
        </w:rPr>
        <w:t xml:space="preserve">, les remarques formulées dans l’arrêt </w:t>
      </w:r>
      <w:r w:rsidRPr="00BA79FC">
        <w:rPr>
          <w:i/>
          <w:lang w:val="fr-CA"/>
        </w:rPr>
        <w:t>SOCAN c.</w:t>
      </w:r>
      <w:r w:rsidRPr="00BA79FC">
        <w:rPr>
          <w:lang w:val="fr-CA"/>
        </w:rPr>
        <w:t xml:space="preserve"> </w:t>
      </w:r>
      <w:r w:rsidRPr="00BA79FC">
        <w:rPr>
          <w:i/>
          <w:lang w:val="fr-CA"/>
        </w:rPr>
        <w:t xml:space="preserve">ACFI </w:t>
      </w:r>
      <w:r w:rsidRPr="00BA79FC">
        <w:rPr>
          <w:lang w:val="fr-CA"/>
        </w:rPr>
        <w:t>sont incidentes, car la signification du verbe « communiquer » employé à l’al. 3(1)</w:t>
      </w:r>
      <w:r w:rsidRPr="00BA79FC">
        <w:rPr>
          <w:i/>
          <w:lang w:val="fr-CA"/>
        </w:rPr>
        <w:t>f</w:t>
      </w:r>
      <w:r w:rsidRPr="00BA79FC">
        <w:rPr>
          <w:lang w:val="fr-CA"/>
        </w:rPr>
        <w:t xml:space="preserve">) n’était pas directement en cause dans cette affaire.  Ni l’arrêt </w:t>
      </w:r>
      <w:r w:rsidRPr="00BA79FC">
        <w:rPr>
          <w:i/>
          <w:lang w:val="fr-CA"/>
        </w:rPr>
        <w:t>SOCAN c. ACFI</w:t>
      </w:r>
      <w:r w:rsidRPr="00BA79FC">
        <w:rPr>
          <w:lang w:val="fr-CA"/>
        </w:rPr>
        <w:t xml:space="preserve"> ni l’arrêt </w:t>
      </w:r>
      <w:r w:rsidRPr="00BA79FC">
        <w:rPr>
          <w:i/>
          <w:lang w:val="fr-CA"/>
        </w:rPr>
        <w:t>ACTSF c. SOCAN</w:t>
      </w:r>
      <w:r w:rsidRPr="00BA79FC">
        <w:rPr>
          <w:lang w:val="fr-CA"/>
        </w:rPr>
        <w:t xml:space="preserve"> ne se penchent sur l’historique législatif du verbe « communiquer » ou sur le lien entre communication et exécution ou représentation.</w:t>
      </w:r>
    </w:p>
    <w:p w:rsidR="00B77AA4" w:rsidRPr="00BA79FC" w:rsidRDefault="00B77AA4" w:rsidP="00B77AA4">
      <w:pPr>
        <w:pStyle w:val="ParaNoNdepar-AltN"/>
        <w:tabs>
          <w:tab w:val="clear" w:pos="1152"/>
          <w:tab w:val="left" w:pos="1166"/>
        </w:tabs>
        <w:rPr>
          <w:lang w:val="fr-CA"/>
        </w:rPr>
      </w:pPr>
      <w:r w:rsidRPr="00BA79FC">
        <w:rPr>
          <w:lang w:val="fr-CA"/>
        </w:rPr>
        <w:t xml:space="preserve">Pour la même raison, nous ne pouvons convenir avec le juge </w:t>
      </w:r>
      <w:proofErr w:type="spellStart"/>
      <w:r w:rsidRPr="00BA79FC">
        <w:rPr>
          <w:lang w:val="fr-CA"/>
        </w:rPr>
        <w:t>Rothstein</w:t>
      </w:r>
      <w:proofErr w:type="spellEnd"/>
      <w:r w:rsidRPr="00BA79FC">
        <w:rPr>
          <w:lang w:val="fr-CA"/>
        </w:rPr>
        <w:t xml:space="preserve"> que, suivant sa définition lexicographique, le mot « communiquer » s’entend de </w:t>
      </w:r>
      <w:r w:rsidRPr="00BA79FC">
        <w:rPr>
          <w:i/>
          <w:lang w:val="fr-CA"/>
        </w:rPr>
        <w:t>toute</w:t>
      </w:r>
      <w:r w:rsidRPr="00BA79FC">
        <w:rPr>
          <w:lang w:val="fr-CA"/>
        </w:rPr>
        <w:t xml:space="preserve"> transmission de données, y compris le téléchargement qui permet à l’utilisateur de conserver une copie durable de l’œuvre.  Bien qu’ils offrent souvent une panoplie utile de définitions possibles, les dictionnaires permettent difficilement de déterminer le sens d’un mot lorsque celui</w:t>
      </w:r>
      <w:r w:rsidR="00AB4016">
        <w:rPr>
          <w:lang w:val="fr-CA"/>
        </w:rPr>
        <w:t>-ci</w:t>
      </w:r>
      <w:r w:rsidRPr="00BA79FC">
        <w:rPr>
          <w:lang w:val="fr-CA"/>
        </w:rPr>
        <w:t xml:space="preserve"> se voit arraché à son contexte : Ruth Sullivan, </w:t>
      </w:r>
      <w:r w:rsidRPr="00BA79FC">
        <w:rPr>
          <w:i/>
          <w:lang w:val="fr-CA"/>
        </w:rPr>
        <w:t xml:space="preserve">Sullivan and </w:t>
      </w:r>
      <w:proofErr w:type="spellStart"/>
      <w:r w:rsidRPr="00BA79FC">
        <w:rPr>
          <w:i/>
          <w:lang w:val="fr-CA"/>
        </w:rPr>
        <w:t>Driedger</w:t>
      </w:r>
      <w:proofErr w:type="spellEnd"/>
      <w:r w:rsidRPr="00BA79FC">
        <w:rPr>
          <w:i/>
          <w:lang w:val="fr-CA"/>
        </w:rPr>
        <w:t xml:space="preserve"> on the Construction of </w:t>
      </w:r>
      <w:proofErr w:type="spellStart"/>
      <w:r w:rsidRPr="00BA79FC">
        <w:rPr>
          <w:i/>
          <w:lang w:val="fr-CA"/>
        </w:rPr>
        <w:t>Statutes</w:t>
      </w:r>
      <w:proofErr w:type="spellEnd"/>
      <w:r w:rsidRPr="00BA79FC">
        <w:rPr>
          <w:lang w:val="fr-CA"/>
        </w:rPr>
        <w:t xml:space="preserve"> (4</w:t>
      </w:r>
      <w:r w:rsidRPr="00BA79FC">
        <w:rPr>
          <w:vertAlign w:val="superscript"/>
          <w:lang w:val="fr-CA"/>
        </w:rPr>
        <w:t>e</w:t>
      </w:r>
      <w:r w:rsidRPr="00BA79FC">
        <w:rPr>
          <w:lang w:val="fr-CA"/>
        </w:rPr>
        <w:t xml:space="preserve"> éd. 2002), p. 27; voir également </w:t>
      </w:r>
      <w:r w:rsidRPr="00BA79FC">
        <w:rPr>
          <w:i/>
          <w:lang w:val="fr-CA"/>
        </w:rPr>
        <w:t xml:space="preserve">Ontario c. Canadien Pacifique </w:t>
      </w:r>
      <w:proofErr w:type="spellStart"/>
      <w:r w:rsidRPr="00BA79FC">
        <w:rPr>
          <w:i/>
          <w:lang w:val="fr-CA"/>
        </w:rPr>
        <w:t>Ltée</w:t>
      </w:r>
      <w:proofErr w:type="spellEnd"/>
      <w:r w:rsidRPr="00BA79FC">
        <w:rPr>
          <w:lang w:val="fr-CA"/>
        </w:rPr>
        <w:t xml:space="preserve">, [1995] 2 R.C.S. 1031, par. 67 (le juge Gonthier).  À notre avis, l’effet du recours aux définitions lexicographiques en </w:t>
      </w:r>
      <w:r w:rsidRPr="00BA79FC">
        <w:rPr>
          <w:lang w:val="fr-CA"/>
        </w:rPr>
        <w:lastRenderedPageBreak/>
        <w:t>l’espèce est de faire abstraction du long historique législatif qui relie fermement le terme « communiquer » aux activités d’exécution ou de représentation.</w:t>
      </w:r>
    </w:p>
    <w:p w:rsidR="00B77AA4" w:rsidRPr="00BA79FC" w:rsidRDefault="00B77AA4" w:rsidP="00B77AA4">
      <w:pPr>
        <w:pStyle w:val="ParaNoNdepar-AltN"/>
        <w:tabs>
          <w:tab w:val="clear" w:pos="1152"/>
          <w:tab w:val="left" w:pos="1166"/>
        </w:tabs>
        <w:rPr>
          <w:lang w:val="fr-CA"/>
        </w:rPr>
      </w:pPr>
      <w:r w:rsidRPr="00BA79FC">
        <w:rPr>
          <w:lang w:val="fr-CA"/>
        </w:rPr>
        <w:t>Dans son interprétation de l’al. 3(1)</w:t>
      </w:r>
      <w:r w:rsidRPr="00BA79FC">
        <w:rPr>
          <w:i/>
          <w:lang w:val="fr-CA"/>
        </w:rPr>
        <w:t>f</w:t>
      </w:r>
      <w:r w:rsidRPr="00BA79FC">
        <w:rPr>
          <w:lang w:val="fr-CA"/>
        </w:rPr>
        <w:t xml:space="preserve">), la Commission méconnaît également la distinction traditionnelle entre droit d’exécution ou de représentation et droit de reproduction en élargissant à tort le sens du verbe « communiquer » pour englober la distribution sur Internet d’une copie permanente de l’œuvre.  Selon nous, cette interprétation va beaucoup plus loin que le </w:t>
      </w:r>
      <w:proofErr w:type="gramStart"/>
      <w:r w:rsidRPr="00BA79FC">
        <w:rPr>
          <w:lang w:val="fr-CA"/>
        </w:rPr>
        <w:t>législateur l’a</w:t>
      </w:r>
      <w:proofErr w:type="gramEnd"/>
      <w:r w:rsidRPr="00BA79FC">
        <w:rPr>
          <w:lang w:val="fr-CA"/>
        </w:rPr>
        <w:t xml:space="preserve"> jamais voulu en employant le terme « communiquer ».</w:t>
      </w:r>
    </w:p>
    <w:p w:rsidR="00B77AA4" w:rsidRPr="00BA79FC" w:rsidRDefault="00B77AA4" w:rsidP="00B77AA4">
      <w:pPr>
        <w:pStyle w:val="ParaNoNdepar-AltN"/>
        <w:tabs>
          <w:tab w:val="clear" w:pos="1152"/>
          <w:tab w:val="left" w:pos="1166"/>
        </w:tabs>
        <w:rPr>
          <w:lang w:val="fr-CA"/>
        </w:rPr>
      </w:pPr>
      <w:r w:rsidRPr="00BA79FC">
        <w:rPr>
          <w:lang w:val="fr-CA"/>
        </w:rPr>
        <w:t>Lors de l’adoption du par. 3(1), le législateur a établi une distinction entre droit de reproduction et droit d’exécution ou de représentation :</w:t>
      </w:r>
    </w:p>
    <w:p w:rsidR="00B77AA4" w:rsidRPr="00BA79FC" w:rsidRDefault="00B77AA4" w:rsidP="00C54E3F">
      <w:pPr>
        <w:pStyle w:val="Citation-AltC"/>
        <w:tabs>
          <w:tab w:val="left" w:pos="1620"/>
        </w:tabs>
        <w:spacing w:after="240"/>
        <w:ind w:hanging="1166"/>
        <w:contextualSpacing w:val="0"/>
        <w:rPr>
          <w:lang w:val="fr-CA"/>
        </w:rPr>
      </w:pPr>
      <w:r w:rsidRPr="00BA79FC">
        <w:rPr>
          <w:lang w:val="fr-CA"/>
        </w:rPr>
        <w:tab/>
      </w:r>
      <w:r w:rsidR="00C54E3F">
        <w:rPr>
          <w:lang w:val="fr-CA"/>
        </w:rPr>
        <w:tab/>
      </w:r>
      <w:r w:rsidRPr="00BA79FC">
        <w:rPr>
          <w:b/>
          <w:lang w:val="fr-CA"/>
        </w:rPr>
        <w:t>3.</w:t>
      </w:r>
      <w:r w:rsidRPr="00BA79FC">
        <w:rPr>
          <w:lang w:val="fr-CA"/>
        </w:rPr>
        <w:t xml:space="preserve"> (1)  Pour les fins de la présente loi, le « droit d’auteur » désigne le droit exclusif </w:t>
      </w:r>
      <w:r w:rsidRPr="00BA79FC">
        <w:rPr>
          <w:i/>
          <w:lang w:val="fr-CA"/>
        </w:rPr>
        <w:t>de produire ou de reproduire</w:t>
      </w:r>
      <w:r w:rsidRPr="00BA79FC">
        <w:rPr>
          <w:lang w:val="fr-CA"/>
        </w:rPr>
        <w:t xml:space="preserve"> une œuvre sous une forme matérielle quelconque, </w:t>
      </w:r>
      <w:r w:rsidRPr="00BA79FC">
        <w:rPr>
          <w:i/>
          <w:lang w:val="fr-CA"/>
        </w:rPr>
        <w:t>d’exécuter ou de représenter</w:t>
      </w:r>
      <w:r w:rsidRPr="00BA79FC">
        <w:rPr>
          <w:lang w:val="fr-CA"/>
        </w:rPr>
        <w:t xml:space="preserve"> ou, s’il s’agit d’une conférence, de débiter </w:t>
      </w:r>
      <w:r w:rsidRPr="00BA79FC">
        <w:rPr>
          <w:i/>
          <w:lang w:val="fr-CA"/>
        </w:rPr>
        <w:t>en public</w:t>
      </w:r>
      <w:r w:rsidRPr="00BA79FC">
        <w:rPr>
          <w:lang w:val="fr-CA"/>
        </w:rPr>
        <w:t xml:space="preserve"> </w:t>
      </w:r>
      <w:r w:rsidR="00B31718">
        <w:rPr>
          <w:lang w:val="fr-CA"/>
        </w:rPr>
        <w:t>[</w:t>
      </w:r>
      <w:r w:rsidRPr="00BA79FC">
        <w:rPr>
          <w:lang w:val="fr-CA"/>
        </w:rPr>
        <w:t>. . .</w:t>
      </w:r>
      <w:r w:rsidR="00B31718">
        <w:rPr>
          <w:lang w:val="fr-CA"/>
        </w:rPr>
        <w:t>]</w:t>
      </w:r>
      <w:r w:rsidRPr="00BA79FC">
        <w:rPr>
          <w:lang w:val="fr-CA"/>
        </w:rPr>
        <w:t xml:space="preserve"> l’œuvre ou une partie importante de celle</w:t>
      </w:r>
      <w:r w:rsidR="002F38C1">
        <w:rPr>
          <w:lang w:val="fr-CA"/>
        </w:rPr>
        <w:t>-</w:t>
      </w:r>
      <w:r w:rsidRPr="00BA79FC">
        <w:rPr>
          <w:lang w:val="fr-CA"/>
        </w:rPr>
        <w:t>ci</w:t>
      </w:r>
      <w:r w:rsidR="00A44FD5">
        <w:rPr>
          <w:lang w:val="fr-CA"/>
        </w:rPr>
        <w:t xml:space="preserve"> </w:t>
      </w:r>
      <w:r w:rsidRPr="00BA79FC">
        <w:rPr>
          <w:lang w:val="fr-CA"/>
        </w:rPr>
        <w:t>.</w:t>
      </w:r>
      <w:r w:rsidR="00A44FD5">
        <w:rPr>
          <w:lang w:val="fr-CA"/>
        </w:rPr>
        <w:t xml:space="preserve"> . .</w:t>
      </w:r>
    </w:p>
    <w:p w:rsidR="00B77AA4" w:rsidRPr="00BA79FC" w:rsidRDefault="00B77AA4" w:rsidP="00B77AA4">
      <w:pPr>
        <w:pStyle w:val="Citation-AltC"/>
        <w:ind w:hanging="1166"/>
        <w:rPr>
          <w:lang w:val="fr-CA"/>
        </w:rPr>
      </w:pPr>
      <w:r w:rsidRPr="00BA79FC">
        <w:rPr>
          <w:b/>
          <w:lang w:val="fr-CA"/>
        </w:rPr>
        <w:tab/>
      </w:r>
      <w:r w:rsidRPr="00B31718">
        <w:rPr>
          <w:lang w:val="fr-CA"/>
        </w:rPr>
        <w:t>(</w:t>
      </w:r>
      <w:r w:rsidRPr="00BA79FC">
        <w:rPr>
          <w:i/>
          <w:lang w:val="fr-CA"/>
        </w:rPr>
        <w:t>Loi de 1921 concernant le droit d’auteur</w:t>
      </w:r>
      <w:r w:rsidRPr="00BA79FC">
        <w:rPr>
          <w:lang w:val="fr-CA"/>
        </w:rPr>
        <w:t>)</w:t>
      </w:r>
    </w:p>
    <w:p w:rsidR="00B77AA4" w:rsidRPr="00BA79FC" w:rsidRDefault="00B77AA4" w:rsidP="00B77AA4">
      <w:pPr>
        <w:pStyle w:val="ParaNoNdepar-AltN"/>
        <w:rPr>
          <w:lang w:val="fr-CA"/>
        </w:rPr>
      </w:pPr>
      <w:r w:rsidRPr="00BA79FC">
        <w:rPr>
          <w:lang w:val="fr-CA"/>
        </w:rPr>
        <w:t xml:space="preserve">Cette distinction a toujours subsisté jusqu’à la version actuelle du par. 3(1) de la </w:t>
      </w:r>
      <w:r w:rsidRPr="00A44FD5">
        <w:rPr>
          <w:i/>
          <w:lang w:val="fr-CA"/>
        </w:rPr>
        <w:t>Loi</w:t>
      </w:r>
      <w:r w:rsidRPr="00BA79FC">
        <w:rPr>
          <w:lang w:val="fr-CA"/>
        </w:rPr>
        <w:t>.</w:t>
      </w:r>
    </w:p>
    <w:p w:rsidR="00B77AA4" w:rsidRPr="00BA79FC" w:rsidRDefault="00B77AA4" w:rsidP="00B77AA4">
      <w:pPr>
        <w:pStyle w:val="ParaNoNdepar-AltN"/>
        <w:rPr>
          <w:lang w:val="fr-CA"/>
        </w:rPr>
      </w:pPr>
      <w:r w:rsidRPr="00BA79FC">
        <w:rPr>
          <w:lang w:val="fr-CA"/>
        </w:rPr>
        <w:t xml:space="preserve">L’exécution d’une œuvre diffère fondamentalement de sa reproduction.  Comme </w:t>
      </w:r>
      <w:r w:rsidRPr="00BA79FC">
        <w:rPr>
          <w:iCs/>
          <w:lang w:val="fr-CA"/>
        </w:rPr>
        <w:t xml:space="preserve">le conclut notre Cour dans l’arrêt </w:t>
      </w:r>
      <w:r w:rsidRPr="00BA79FC">
        <w:rPr>
          <w:i/>
          <w:iCs/>
          <w:lang w:val="fr-CA"/>
        </w:rPr>
        <w:t>Bishop c. Stevens</w:t>
      </w:r>
      <w:r w:rsidRPr="00BA79FC">
        <w:rPr>
          <w:iCs/>
          <w:lang w:val="fr-CA"/>
        </w:rPr>
        <w:t xml:space="preserve">, une exécution est de </w:t>
      </w:r>
      <w:r w:rsidRPr="00BA79FC">
        <w:rPr>
          <w:iCs/>
          <w:lang w:val="fr-CA"/>
        </w:rPr>
        <w:lastRenderedPageBreak/>
        <w:t>nature passagère et ne laisse pas le téléspectateur ou l’auditeur en possession d’une copie durable de l’œuvre :</w:t>
      </w:r>
    </w:p>
    <w:p w:rsidR="00B77AA4" w:rsidRPr="00BA79FC" w:rsidRDefault="00B77AA4" w:rsidP="00B31718">
      <w:pPr>
        <w:pStyle w:val="Citation-AltC"/>
        <w:tabs>
          <w:tab w:val="left" w:pos="1620"/>
        </w:tabs>
        <w:spacing w:after="240"/>
        <w:ind w:left="1168" w:hanging="1168"/>
        <w:contextualSpacing w:val="0"/>
        <w:rPr>
          <w:lang w:val="fr-CA"/>
        </w:rPr>
      </w:pPr>
      <w:r w:rsidRPr="00BA79FC">
        <w:rPr>
          <w:lang w:val="fr-CA"/>
        </w:rPr>
        <w:tab/>
      </w:r>
      <w:r w:rsidR="00B31718">
        <w:rPr>
          <w:lang w:val="fr-CA"/>
        </w:rPr>
        <w:tab/>
      </w:r>
      <w:r w:rsidRPr="00BA79FC">
        <w:rPr>
          <w:lang w:val="fr-CA"/>
        </w:rPr>
        <w:t xml:space="preserve">Le droit d’exécuter une œuvre (notamment celui de la radiodiffuser) et le droit de faire un enregistrement sont mentionnés de façon distincte au par. 3(1).  Ce sont des droits distincts en théorie et en pratique </w:t>
      </w:r>
      <w:r w:rsidR="00B31718">
        <w:rPr>
          <w:lang w:val="fr-CA"/>
        </w:rPr>
        <w:t>[</w:t>
      </w:r>
      <w:r w:rsidRPr="00BA79FC">
        <w:rPr>
          <w:lang w:val="fr-CA"/>
        </w:rPr>
        <w:t>. . .</w:t>
      </w:r>
      <w:r w:rsidR="00B31718">
        <w:rPr>
          <w:lang w:val="fr-CA"/>
        </w:rPr>
        <w:t>]</w:t>
      </w:r>
      <w:r w:rsidRPr="00BA79FC">
        <w:rPr>
          <w:lang w:val="fr-CA"/>
        </w:rPr>
        <w:t xml:space="preserve"> [L]e droit d’exécuter une œuvre et celui de l’enregistrer sont suffisamment distincts pour être ordinairement cédés séparément et administrés par des organismes différents.</w:t>
      </w:r>
    </w:p>
    <w:p w:rsidR="00B77AA4" w:rsidRPr="00BA79FC" w:rsidRDefault="00B77AA4" w:rsidP="00B77AA4">
      <w:pPr>
        <w:pStyle w:val="Citation-AltC"/>
        <w:spacing w:after="240"/>
        <w:ind w:left="1168" w:hanging="1168"/>
        <w:contextualSpacing w:val="0"/>
        <w:jc w:val="center"/>
        <w:rPr>
          <w:lang w:val="fr-CA"/>
        </w:rPr>
      </w:pPr>
      <w:r w:rsidRPr="00BA79FC">
        <w:rPr>
          <w:lang w:val="fr-CA"/>
        </w:rPr>
        <w:t>. . .</w:t>
      </w:r>
    </w:p>
    <w:p w:rsidR="00B77AA4" w:rsidRPr="00BA79FC" w:rsidRDefault="00B77AA4" w:rsidP="00B77AA4">
      <w:pPr>
        <w:pStyle w:val="Citation-AltC"/>
        <w:ind w:hanging="1166"/>
        <w:contextualSpacing w:val="0"/>
        <w:rPr>
          <w:u w:val="single"/>
          <w:lang w:val="fr-CA"/>
        </w:rPr>
      </w:pPr>
      <w:r w:rsidRPr="00BA79FC">
        <w:rPr>
          <w:lang w:val="fr-CA"/>
        </w:rPr>
        <w:tab/>
        <w:t xml:space="preserve">. . . Une </w:t>
      </w:r>
      <w:r w:rsidRPr="00BA79FC">
        <w:rPr>
          <w:i/>
          <w:lang w:val="fr-CA"/>
        </w:rPr>
        <w:t>exécution est par sa nature même fugace, momentanée, passagère</w:t>
      </w:r>
      <w:r w:rsidRPr="00BA79FC">
        <w:rPr>
          <w:lang w:val="fr-CA"/>
        </w:rPr>
        <w:t xml:space="preserve">.  Lorsqu’elle est terminée, il n’en reste plus que le souvenir </w:t>
      </w:r>
      <w:r w:rsidR="00B31718">
        <w:rPr>
          <w:lang w:val="fr-CA"/>
        </w:rPr>
        <w:t>[</w:t>
      </w:r>
      <w:r w:rsidRPr="00BA79FC">
        <w:rPr>
          <w:lang w:val="fr-CA"/>
        </w:rPr>
        <w:t>. . .</w:t>
      </w:r>
      <w:r w:rsidR="00B31718">
        <w:rPr>
          <w:lang w:val="fr-CA"/>
        </w:rPr>
        <w:t>]</w:t>
      </w:r>
      <w:r w:rsidRPr="00BA79FC">
        <w:rPr>
          <w:lang w:val="fr-CA"/>
        </w:rPr>
        <w:t xml:space="preserve"> De plus, </w:t>
      </w:r>
      <w:r w:rsidRPr="00BA79FC">
        <w:rPr>
          <w:i/>
          <w:lang w:val="fr-CA"/>
        </w:rPr>
        <w:t>aucune imitation d’une exécution n’en est une reproduction parfaite.  En revanche, un enregistrement est permanent.  Il est facile d’en faire des reproductions exactes et privées.  Dès qu’une œuvre a été enregistrée, son enregistrement acquiert une sorte d’autonomie</w:t>
      </w:r>
      <w:r w:rsidRPr="00BA79FC">
        <w:rPr>
          <w:lang w:val="fr-CA"/>
        </w:rPr>
        <w:t xml:space="preserve"> </w:t>
      </w:r>
      <w:r w:rsidR="00B31718">
        <w:rPr>
          <w:lang w:val="fr-CA"/>
        </w:rPr>
        <w:t>[</w:t>
      </w:r>
      <w:r w:rsidRPr="00BA79FC">
        <w:rPr>
          <w:lang w:val="fr-CA"/>
        </w:rPr>
        <w:t>. . .</w:t>
      </w:r>
      <w:r w:rsidR="00B31718">
        <w:rPr>
          <w:lang w:val="fr-CA"/>
        </w:rPr>
        <w:t>]</w:t>
      </w:r>
      <w:r w:rsidRPr="00BA79FC">
        <w:rPr>
          <w:lang w:val="fr-CA"/>
        </w:rPr>
        <w:t xml:space="preserve"> Après avoir enregistré son œuvre ou en avoir autorisé l’enregistrement, un compositeur a cédé de façon définitive une large part de contrôle sur la présentation de son œuvre au public.  </w:t>
      </w:r>
      <w:r w:rsidRPr="00BA79FC">
        <w:rPr>
          <w:i/>
          <w:lang w:val="fr-CA"/>
        </w:rPr>
        <w:t>C’est pour cela que la Loi établit une distinction entre le droit d’exécuter une œuvre et celui de l’enregistrer et qu’un auteur peut, en pratique, vouloir autoriser l’exécution de son œuvre mais non son enregistrement</w:t>
      </w:r>
      <w:r w:rsidRPr="00B31718">
        <w:rPr>
          <w:lang w:val="fr-CA"/>
        </w:rPr>
        <w:t>.</w:t>
      </w:r>
      <w:r w:rsidRPr="00BA79FC">
        <w:rPr>
          <w:i/>
          <w:lang w:val="fr-CA"/>
        </w:rPr>
        <w:t xml:space="preserve">  </w:t>
      </w:r>
      <w:r w:rsidRPr="00BA79FC">
        <w:rPr>
          <w:lang w:val="fr-CA"/>
        </w:rPr>
        <w:t>[Italiques ajouté</w:t>
      </w:r>
      <w:r w:rsidR="00B31718">
        <w:rPr>
          <w:lang w:val="fr-CA"/>
        </w:rPr>
        <w:t>s; p. 477-</w:t>
      </w:r>
      <w:r w:rsidRPr="00BA79FC">
        <w:rPr>
          <w:lang w:val="fr-CA"/>
        </w:rPr>
        <w:t>479.]</w:t>
      </w:r>
    </w:p>
    <w:p w:rsidR="00B77AA4" w:rsidRPr="00BA79FC" w:rsidRDefault="00B77AA4" w:rsidP="00B77AA4">
      <w:pPr>
        <w:pStyle w:val="ParaNoNdepar-AltN"/>
        <w:rPr>
          <w:lang w:val="fr-CA"/>
        </w:rPr>
      </w:pPr>
      <w:r w:rsidRPr="00BA79FC">
        <w:rPr>
          <w:lang w:val="fr-CA"/>
        </w:rPr>
        <w:t>Dans cette affaire, la personne accusée de violation du droit d’auteur a fait valoir que le « droit de diffuser » une œuvre musicale suivant l’al. 3(1)</w:t>
      </w:r>
      <w:r w:rsidRPr="00BA79FC">
        <w:rPr>
          <w:i/>
          <w:lang w:val="fr-CA"/>
        </w:rPr>
        <w:t>f</w:t>
      </w:r>
      <w:r w:rsidRPr="00BA79FC">
        <w:rPr>
          <w:lang w:val="fr-CA"/>
        </w:rPr>
        <w:t xml:space="preserve">) comportait le droit accessoire d’en tirer une copie éphémère à la seule fin de faciliter la radiodiffusion.  Notre Cour a finalement conclu que le droit d’exécuter une œuvre </w:t>
      </w:r>
      <w:r w:rsidRPr="00BA79FC">
        <w:rPr>
          <w:rFonts w:cs="Times New Roman"/>
          <w:lang w:val="fr-CA"/>
        </w:rPr>
        <w:t>—</w:t>
      </w:r>
      <w:r w:rsidRPr="00BA79FC">
        <w:rPr>
          <w:lang w:val="fr-CA"/>
        </w:rPr>
        <w:t xml:space="preserve"> y compris celui de la communiquer </w:t>
      </w:r>
      <w:r w:rsidRPr="00BA79FC">
        <w:rPr>
          <w:rFonts w:cs="Times New Roman"/>
          <w:lang w:val="fr-CA"/>
        </w:rPr>
        <w:t>—</w:t>
      </w:r>
      <w:r w:rsidRPr="00BA79FC">
        <w:rPr>
          <w:lang w:val="fr-CA"/>
        </w:rPr>
        <w:t xml:space="preserve"> ne pouvait être interprété de façon à englober le droit de la reproduire, puisque l’exécution ou la représentation et la communication diffèrent intrinsèquement de l’enregistrement.</w:t>
      </w:r>
    </w:p>
    <w:p w:rsidR="00B77AA4" w:rsidRPr="00BA79FC" w:rsidRDefault="00B77AA4" w:rsidP="00B77AA4">
      <w:pPr>
        <w:pStyle w:val="ParaNoNdepar-AltN"/>
        <w:tabs>
          <w:tab w:val="clear" w:pos="1152"/>
          <w:tab w:val="left" w:pos="1166"/>
        </w:tabs>
        <w:rPr>
          <w:lang w:val="fr-CA"/>
        </w:rPr>
      </w:pPr>
      <w:r w:rsidRPr="00BA79FC">
        <w:rPr>
          <w:lang w:val="fr-CA"/>
        </w:rPr>
        <w:lastRenderedPageBreak/>
        <w:t xml:space="preserve">Bien que, dans l’arrêt </w:t>
      </w:r>
      <w:r w:rsidRPr="00BA79FC">
        <w:rPr>
          <w:i/>
          <w:lang w:val="fr-CA"/>
        </w:rPr>
        <w:t>Bishop</w:t>
      </w:r>
      <w:r w:rsidRPr="00BA79FC">
        <w:rPr>
          <w:lang w:val="fr-CA"/>
        </w:rPr>
        <w:t xml:space="preserve">, notre Cour interprète la version de la </w:t>
      </w:r>
      <w:r w:rsidRPr="00BA79FC">
        <w:rPr>
          <w:i/>
          <w:lang w:val="fr-CA"/>
        </w:rPr>
        <w:t>Loi sur le droit d’auteur</w:t>
      </w:r>
      <w:r w:rsidRPr="00BA79FC">
        <w:rPr>
          <w:lang w:val="fr-CA"/>
        </w:rPr>
        <w:t xml:space="preserve"> antérieure à la modification de 1988 qui a intégré le mot « télécommunication », la distinction entre le droit d’exécution ou de représentation et celui de reproduction établie au par. 3(1) se retrouve dans les dispositions de la </w:t>
      </w:r>
      <w:r w:rsidRPr="00A86D91">
        <w:rPr>
          <w:i/>
          <w:lang w:val="fr-CA"/>
        </w:rPr>
        <w:t>Loi</w:t>
      </w:r>
      <w:r w:rsidRPr="00BA79FC">
        <w:rPr>
          <w:lang w:val="fr-CA"/>
        </w:rPr>
        <w:t xml:space="preserve"> actuelle.  Par exemple, au par. 2.2(1), le terme « publication » </w:t>
      </w:r>
      <w:r w:rsidRPr="00BA79FC">
        <w:rPr>
          <w:i/>
          <w:lang w:val="fr-CA"/>
        </w:rPr>
        <w:t>s’entend</w:t>
      </w:r>
      <w:r w:rsidRPr="00BA79FC">
        <w:rPr>
          <w:lang w:val="fr-CA"/>
        </w:rPr>
        <w:t xml:space="preserve"> de la « mise à </w:t>
      </w:r>
      <w:r w:rsidR="00B338CC">
        <w:rPr>
          <w:lang w:val="fr-CA"/>
        </w:rPr>
        <w:t xml:space="preserve">la </w:t>
      </w:r>
      <w:r w:rsidRPr="00BA79FC">
        <w:rPr>
          <w:lang w:val="fr-CA"/>
        </w:rPr>
        <w:t xml:space="preserve">disposition </w:t>
      </w:r>
      <w:r w:rsidR="00B338CC">
        <w:rPr>
          <w:lang w:val="fr-CA"/>
        </w:rPr>
        <w:t>[</w:t>
      </w:r>
      <w:r w:rsidRPr="00BA79FC">
        <w:rPr>
          <w:lang w:val="fr-CA"/>
        </w:rPr>
        <w:t>. . .</w:t>
      </w:r>
      <w:r w:rsidR="00B338CC">
        <w:rPr>
          <w:lang w:val="fr-CA"/>
        </w:rPr>
        <w:t>]</w:t>
      </w:r>
      <w:r w:rsidRPr="00BA79FC">
        <w:rPr>
          <w:lang w:val="fr-CA"/>
        </w:rPr>
        <w:t xml:space="preserve"> d’exemplaires », mais </w:t>
      </w:r>
      <w:r w:rsidRPr="00BA79FC">
        <w:rPr>
          <w:i/>
          <w:lang w:val="fr-CA"/>
        </w:rPr>
        <w:t>exclut</w:t>
      </w:r>
      <w:r w:rsidRPr="00BA79FC">
        <w:rPr>
          <w:lang w:val="fr-CA"/>
        </w:rPr>
        <w:t xml:space="preserve"> expressément « la représentation ou l’exécution en public » d’une œuvre ou sa « communication au public par télécommunication ».  De même, l’exception que prévoit le par. 29.4(2) au bénéfice des établissements d’enseignement tient pour distincts le droit de « reproduction » et celui de « communication par télécommunication </w:t>
      </w:r>
      <w:r w:rsidR="00B338CC">
        <w:rPr>
          <w:lang w:val="fr-CA"/>
        </w:rPr>
        <w:t>[</w:t>
      </w:r>
      <w:r w:rsidRPr="00BA79FC">
        <w:rPr>
          <w:lang w:val="fr-CA"/>
        </w:rPr>
        <w:t>. . .</w:t>
      </w:r>
      <w:r w:rsidR="00B338CC">
        <w:rPr>
          <w:lang w:val="fr-CA"/>
        </w:rPr>
        <w:t>]</w:t>
      </w:r>
      <w:r w:rsidRPr="00BA79FC">
        <w:rPr>
          <w:lang w:val="fr-CA"/>
        </w:rPr>
        <w:t xml:space="preserve"> au public ».  Il en va de même du par. 15(1), qui scinde en deux catégories les droits voisins prévus par la </w:t>
      </w:r>
      <w:r w:rsidRPr="00A44FD5">
        <w:rPr>
          <w:i/>
          <w:lang w:val="fr-CA"/>
        </w:rPr>
        <w:t>Loi</w:t>
      </w:r>
      <w:r w:rsidRPr="00BA79FC">
        <w:rPr>
          <w:lang w:val="fr-CA"/>
        </w:rPr>
        <w:t> : le droit de « communiquer » la prestation et de l’« exécuter », et celui d’en « reproduire » la fixation.</w:t>
      </w:r>
    </w:p>
    <w:p w:rsidR="00B77AA4" w:rsidRPr="00BA79FC" w:rsidRDefault="00B77AA4" w:rsidP="00B77AA4">
      <w:pPr>
        <w:pStyle w:val="ParaNoNdepar-AltN"/>
        <w:rPr>
          <w:lang w:val="fr-CA"/>
        </w:rPr>
      </w:pPr>
      <w:r w:rsidRPr="00BA79FC">
        <w:rPr>
          <w:lang w:val="fr-CA"/>
        </w:rPr>
        <w:t xml:space="preserve">La distinction entre, d’une part, droits d’exécution ou de représentation et de communication et, d’autre part, droit de reproduction ressort également de la gestion collective des tarifs de redevances en vertu de la </w:t>
      </w:r>
      <w:r w:rsidRPr="00BA79FC">
        <w:rPr>
          <w:i/>
          <w:lang w:val="fr-CA"/>
        </w:rPr>
        <w:t>Loi sur le droit d’auteur</w:t>
      </w:r>
      <w:r w:rsidRPr="00BA79FC">
        <w:rPr>
          <w:lang w:val="fr-CA"/>
        </w:rPr>
        <w:t xml:space="preserve">.  En 1993, la SOCAN </w:t>
      </w:r>
      <w:r w:rsidRPr="00BA79FC">
        <w:rPr>
          <w:rFonts w:cs="Times New Roman"/>
          <w:lang w:val="fr-CA"/>
        </w:rPr>
        <w:t>—</w:t>
      </w:r>
      <w:r w:rsidRPr="00BA79FC">
        <w:rPr>
          <w:lang w:val="fr-CA"/>
        </w:rPr>
        <w:t xml:space="preserve"> une société de gestion du droit d’exécution </w:t>
      </w:r>
      <w:r w:rsidRPr="00BA79FC">
        <w:rPr>
          <w:rFonts w:cs="Times New Roman"/>
          <w:lang w:val="fr-CA"/>
        </w:rPr>
        <w:t>—</w:t>
      </w:r>
      <w:r w:rsidRPr="00BA79FC">
        <w:rPr>
          <w:lang w:val="fr-CA"/>
        </w:rPr>
        <w:t xml:space="preserve"> s’est vu confier l’administration du droit de </w:t>
      </w:r>
      <w:r w:rsidRPr="00BA79FC">
        <w:rPr>
          <w:lang w:val="fr-CA" w:bidi="en-US"/>
        </w:rPr>
        <w:t>communication prévu à l’al. 3(1)</w:t>
      </w:r>
      <w:r w:rsidRPr="00BA79FC">
        <w:rPr>
          <w:i/>
          <w:lang w:val="fr-CA" w:bidi="en-US"/>
        </w:rPr>
        <w:t>f</w:t>
      </w:r>
      <w:r w:rsidRPr="00BA79FC">
        <w:rPr>
          <w:lang w:val="fr-CA" w:bidi="en-US"/>
        </w:rPr>
        <w:t xml:space="preserve">) en liaison avec les œuvres musicales : L.C. 1993, ch. 23, art. 3 : voir </w:t>
      </w:r>
      <w:proofErr w:type="spellStart"/>
      <w:r w:rsidRPr="00BA79FC">
        <w:rPr>
          <w:lang w:val="fr-CA"/>
        </w:rPr>
        <w:t>Mc</w:t>
      </w:r>
      <w:r w:rsidR="00B338CC">
        <w:rPr>
          <w:lang w:val="fr-CA"/>
        </w:rPr>
        <w:t>Keown</w:t>
      </w:r>
      <w:proofErr w:type="spellEnd"/>
      <w:r w:rsidR="00B338CC">
        <w:rPr>
          <w:lang w:val="fr-CA"/>
        </w:rPr>
        <w:t>, p. 3-12, 27-</w:t>
      </w:r>
      <w:r w:rsidRPr="00BA79FC">
        <w:rPr>
          <w:lang w:val="fr-CA"/>
        </w:rPr>
        <w:t>2 et 27</w:t>
      </w:r>
      <w:r w:rsidR="003B1184">
        <w:rPr>
          <w:lang w:val="fr-CA"/>
        </w:rPr>
        <w:t>-</w:t>
      </w:r>
      <w:r w:rsidRPr="00BA79FC">
        <w:rPr>
          <w:lang w:val="fr-CA"/>
        </w:rPr>
        <w:t xml:space="preserve">3. </w:t>
      </w:r>
      <w:r w:rsidRPr="00BA79FC">
        <w:rPr>
          <w:lang w:val="fr-CA" w:bidi="en-US"/>
        </w:rPr>
        <w:t xml:space="preserve"> Les dispositions pertinentes figurent dans la partie de la </w:t>
      </w:r>
      <w:r w:rsidRPr="00A44FD5">
        <w:rPr>
          <w:i/>
          <w:lang w:val="fr-CA" w:bidi="en-US"/>
        </w:rPr>
        <w:t>Loi</w:t>
      </w:r>
      <w:r w:rsidRPr="00BA79FC">
        <w:rPr>
          <w:lang w:val="fr-CA" w:bidi="en-US"/>
        </w:rPr>
        <w:t xml:space="preserve"> intitulée « Gestion c</w:t>
      </w:r>
      <w:r w:rsidRPr="00BA79FC">
        <w:rPr>
          <w:bCs/>
          <w:lang w:val="fr-CA" w:bidi="en-US"/>
        </w:rPr>
        <w:t xml:space="preserve">ollective du </w:t>
      </w:r>
      <w:r w:rsidRPr="00BA79FC">
        <w:rPr>
          <w:bCs/>
          <w:i/>
          <w:lang w:val="fr-CA" w:bidi="en-US"/>
        </w:rPr>
        <w:t>droit d’exécution et de communication</w:t>
      </w:r>
      <w:r w:rsidRPr="00BA79FC">
        <w:rPr>
          <w:lang w:val="fr-CA" w:bidi="en-US"/>
        </w:rPr>
        <w:t xml:space="preserve"> » : art. 67 à 68.2 (L.C. 1997, ch. 24, art. 45) : voir </w:t>
      </w:r>
      <w:proofErr w:type="spellStart"/>
      <w:r w:rsidR="003B1184">
        <w:rPr>
          <w:lang w:val="fr-CA"/>
        </w:rPr>
        <w:t>McKeown</w:t>
      </w:r>
      <w:proofErr w:type="spellEnd"/>
      <w:r w:rsidR="003B1184">
        <w:rPr>
          <w:lang w:val="fr-CA"/>
        </w:rPr>
        <w:t>, p. 26-</w:t>
      </w:r>
      <w:r w:rsidRPr="00BA79FC">
        <w:rPr>
          <w:lang w:val="fr-CA"/>
        </w:rPr>
        <w:t>3.</w:t>
      </w:r>
      <w:r w:rsidRPr="00BA79FC">
        <w:rPr>
          <w:lang w:val="fr-CA" w:bidi="en-US"/>
        </w:rPr>
        <w:t xml:space="preserve">  Même la Commission du droit d’auteur </w:t>
      </w:r>
      <w:r w:rsidRPr="00BA79FC">
        <w:rPr>
          <w:lang w:val="fr-CA"/>
        </w:rPr>
        <w:lastRenderedPageBreak/>
        <w:t>répartit ses décisions relatives aux œuvres musicales entre deux catégories : « Exécution publique de la musique » et « Reproduction d’œuvres musicales » : http://www.cb</w:t>
      </w:r>
      <w:r w:rsidR="002F38C1">
        <w:rPr>
          <w:lang w:val="fr-CA"/>
        </w:rPr>
        <w:t>-</w:t>
      </w:r>
      <w:r w:rsidRPr="00BA79FC">
        <w:rPr>
          <w:lang w:val="fr-CA"/>
        </w:rPr>
        <w:t>cda.gc.ca/decisions/index</w:t>
      </w:r>
      <w:r w:rsidR="002F38C1">
        <w:rPr>
          <w:lang w:val="fr-CA"/>
        </w:rPr>
        <w:t>-</w:t>
      </w:r>
      <w:r w:rsidRPr="00BA79FC">
        <w:rPr>
          <w:lang w:val="fr-CA"/>
        </w:rPr>
        <w:t>f.html.</w:t>
      </w:r>
    </w:p>
    <w:p w:rsidR="00B77AA4" w:rsidRPr="00BA79FC" w:rsidRDefault="00B77AA4" w:rsidP="00B77AA4">
      <w:pPr>
        <w:pStyle w:val="ParaNoNdepar-AltN"/>
        <w:rPr>
          <w:lang w:val="fr-CA"/>
        </w:rPr>
      </w:pPr>
      <w:r w:rsidRPr="00BA79FC">
        <w:rPr>
          <w:lang w:val="fr-CA"/>
        </w:rPr>
        <w:t xml:space="preserve">Dès lors, le verbe « communiquer » </w:t>
      </w:r>
      <w:proofErr w:type="gramStart"/>
      <w:r w:rsidRPr="00BA79FC">
        <w:rPr>
          <w:lang w:val="fr-CA"/>
        </w:rPr>
        <w:t>employé</w:t>
      </w:r>
      <w:proofErr w:type="gramEnd"/>
      <w:r w:rsidRPr="00BA79FC">
        <w:rPr>
          <w:lang w:val="fr-CA"/>
        </w:rPr>
        <w:t xml:space="preserve"> à l’al. 3(1)</w:t>
      </w:r>
      <w:r w:rsidRPr="00BA79FC">
        <w:rPr>
          <w:i/>
          <w:lang w:val="fr-CA"/>
        </w:rPr>
        <w:t>f</w:t>
      </w:r>
      <w:r w:rsidRPr="00BA79FC">
        <w:rPr>
          <w:lang w:val="fr-CA"/>
        </w:rPr>
        <w:t>), qui a de tou</w:t>
      </w:r>
      <w:r w:rsidR="00A44FD5">
        <w:rPr>
          <w:lang w:val="fr-CA"/>
        </w:rPr>
        <w:t>t</w:t>
      </w:r>
      <w:r w:rsidRPr="00BA79FC">
        <w:rPr>
          <w:lang w:val="fr-CA"/>
        </w:rPr>
        <w:t xml:space="preserve"> temps été lié au droit d’exécution ou de représentation, ne doit pas être transformé par la présence du mot « télécommunication » de telle sorte qu’il englobe des activités apparentées à la reproduction.  Une telle mutation équivaudrait à l’abandon de la distinction traditionnelle établie dans la </w:t>
      </w:r>
      <w:r w:rsidRPr="00A44FD5">
        <w:rPr>
          <w:i/>
          <w:lang w:val="fr-CA"/>
        </w:rPr>
        <w:t>Loi</w:t>
      </w:r>
      <w:r w:rsidRPr="00BA79FC">
        <w:rPr>
          <w:lang w:val="fr-CA"/>
        </w:rPr>
        <w:t xml:space="preserve"> entre droit d’exécution ou de représentation et droit de reproduction.  Aucune disposition ayant modifié la </w:t>
      </w:r>
      <w:r w:rsidRPr="00A44FD5">
        <w:rPr>
          <w:i/>
          <w:lang w:val="fr-CA"/>
        </w:rPr>
        <w:t>Loi</w:t>
      </w:r>
      <w:r w:rsidRPr="00BA79FC">
        <w:rPr>
          <w:lang w:val="fr-CA"/>
        </w:rPr>
        <w:t xml:space="preserve"> en 1988 ou par la suite n’atteste que le législateur a voulu un tel abandon.</w:t>
      </w:r>
    </w:p>
    <w:p w:rsidR="00B77AA4" w:rsidRPr="00BA79FC" w:rsidRDefault="00B77AA4" w:rsidP="00B77AA4">
      <w:pPr>
        <w:pStyle w:val="ParaNoNdepar-AltN"/>
        <w:tabs>
          <w:tab w:val="clear" w:pos="1152"/>
          <w:tab w:val="left" w:pos="1166"/>
        </w:tabs>
        <w:rPr>
          <w:lang w:val="fr-CA"/>
        </w:rPr>
      </w:pPr>
      <w:r w:rsidRPr="00BA79FC">
        <w:rPr>
          <w:lang w:val="fr-CA"/>
        </w:rPr>
        <w:t xml:space="preserve">La SOCAN soutient que la distinction entre le droit de reproduction et le droit d’exécution ou de représentation reconnue dans l’arrêt </w:t>
      </w:r>
      <w:r w:rsidRPr="00BA79FC">
        <w:rPr>
          <w:i/>
          <w:lang w:val="fr-CA"/>
        </w:rPr>
        <w:t>Bishop</w:t>
      </w:r>
      <w:r w:rsidRPr="00BA79FC">
        <w:rPr>
          <w:lang w:val="fr-CA"/>
        </w:rPr>
        <w:t xml:space="preserve"> étaye en fait sa thèse selon laquelle le téléchargement d’une œuvre musicale sur Internet peut emporter l’application de deux tarifs.  Comme le droit de reproduction et le droit d’exécution ou de représentation sont distincts et indépendants, le titulaire du droit d’auteur devrait avoir droit à une redevance distincte pour l’exercice de chacun d’eux.  Cette prétention repose sur le renvoi que fait la Cour, dans l’arrêt </w:t>
      </w:r>
      <w:r w:rsidRPr="00BA79FC">
        <w:rPr>
          <w:i/>
          <w:lang w:val="fr-CA"/>
        </w:rPr>
        <w:t>Bishop</w:t>
      </w:r>
      <w:r w:rsidRPr="00BA79FC">
        <w:rPr>
          <w:lang w:val="fr-CA"/>
        </w:rPr>
        <w:t>, à la p. 477, aux propos tenus par le lord juge Greene dans l’arrêt</w:t>
      </w:r>
      <w:r w:rsidRPr="00BA79FC">
        <w:rPr>
          <w:i/>
          <w:lang w:val="fr-CA"/>
        </w:rPr>
        <w:t xml:space="preserve"> </w:t>
      </w:r>
      <w:proofErr w:type="spellStart"/>
      <w:r w:rsidRPr="00BA79FC">
        <w:rPr>
          <w:i/>
          <w:lang w:val="fr-CA"/>
        </w:rPr>
        <w:t>Ash</w:t>
      </w:r>
      <w:proofErr w:type="spellEnd"/>
      <w:r w:rsidRPr="00BA79FC">
        <w:rPr>
          <w:i/>
          <w:lang w:val="fr-CA"/>
        </w:rPr>
        <w:t xml:space="preserve"> c. Hutchinson &amp; Co. (</w:t>
      </w:r>
      <w:proofErr w:type="spellStart"/>
      <w:r w:rsidRPr="00BA79FC">
        <w:rPr>
          <w:i/>
          <w:lang w:val="fr-CA"/>
        </w:rPr>
        <w:t>Publishers</w:t>
      </w:r>
      <w:proofErr w:type="spellEnd"/>
      <w:r w:rsidRPr="00BA79FC">
        <w:rPr>
          <w:i/>
          <w:lang w:val="fr-CA"/>
        </w:rPr>
        <w:t>), Ltd.</w:t>
      </w:r>
      <w:r w:rsidRPr="00BA79FC">
        <w:rPr>
          <w:lang w:val="fr-CA"/>
        </w:rPr>
        <w:t>, [1936] 2 All E.R. 1496 (C.A.), p. 1507 :</w:t>
      </w:r>
    </w:p>
    <w:p w:rsidR="00B77AA4" w:rsidRPr="00BA79FC" w:rsidRDefault="00B77AA4" w:rsidP="00B77AA4">
      <w:pPr>
        <w:pStyle w:val="Citation-AltC"/>
        <w:ind w:hanging="1166"/>
        <w:rPr>
          <w:lang w:val="fr-CA"/>
        </w:rPr>
      </w:pPr>
      <w:r w:rsidRPr="00BA79FC">
        <w:rPr>
          <w:lang w:val="fr-CA"/>
        </w:rPr>
        <w:tab/>
        <w:t>[</w:t>
      </w:r>
      <w:r w:rsidRPr="00BA79FC">
        <w:rPr>
          <w:smallCaps/>
          <w:lang w:val="fr-CA"/>
        </w:rPr>
        <w:t>traduction</w:t>
      </w:r>
      <w:proofErr w:type="gramStart"/>
      <w:r w:rsidRPr="00BA79FC">
        <w:rPr>
          <w:lang w:val="fr-CA"/>
        </w:rPr>
        <w:t>]  .</w:t>
      </w:r>
      <w:proofErr w:type="gramEnd"/>
      <w:r w:rsidRPr="00BA79FC">
        <w:rPr>
          <w:lang w:val="fr-CA"/>
        </w:rPr>
        <w:t xml:space="preserve"> . . la Copyright </w:t>
      </w:r>
      <w:proofErr w:type="spellStart"/>
      <w:r w:rsidRPr="00BA79FC">
        <w:rPr>
          <w:lang w:val="fr-CA"/>
        </w:rPr>
        <w:t>Act</w:t>
      </w:r>
      <w:proofErr w:type="spellEnd"/>
      <w:r w:rsidRPr="00BA79FC">
        <w:rPr>
          <w:lang w:val="fr-CA"/>
        </w:rPr>
        <w:t xml:space="preserve">, 1911 [sur laquelle la Loi canadienne est modelée] expose les droits du titulaire d’un droit d’auteur.  Il énumère </w:t>
      </w:r>
      <w:r w:rsidRPr="00BA79FC">
        <w:rPr>
          <w:lang w:val="fr-CA"/>
        </w:rPr>
        <w:lastRenderedPageBreak/>
        <w:t xml:space="preserve">certains actes que seul le titulaire d’un droit d’auteur peut accomplir.  Le droit d’accomplir chacun de ces actes est, à mon avis, un droit distinct, créé par la loi, </w:t>
      </w:r>
      <w:r w:rsidRPr="00BA79FC">
        <w:rPr>
          <w:i/>
          <w:lang w:val="fr-CA"/>
        </w:rPr>
        <w:t>et quiconque accomplit l’un de ces actes sans le consentement du titulaire du droit d’auteur commet de ce fait un délit; s’il en accomplit deux, il commet deux délits et ainsi de suite</w:t>
      </w:r>
      <w:r w:rsidRPr="00B338CC">
        <w:rPr>
          <w:lang w:val="fr-CA"/>
        </w:rPr>
        <w:t>.</w:t>
      </w:r>
      <w:r w:rsidRPr="00BA79FC">
        <w:rPr>
          <w:lang w:val="fr-CA"/>
        </w:rPr>
        <w:t xml:space="preserve">  [Italiques ajoutés.]</w:t>
      </w:r>
    </w:p>
    <w:p w:rsidR="00B77AA4" w:rsidRPr="00BA79FC" w:rsidRDefault="00B77AA4" w:rsidP="00B77AA4">
      <w:pPr>
        <w:pStyle w:val="ParaNoNdepar-AltN"/>
        <w:rPr>
          <w:lang w:val="fr-CA"/>
        </w:rPr>
      </w:pPr>
      <w:r w:rsidRPr="00BA79FC">
        <w:rPr>
          <w:lang w:val="fr-CA"/>
        </w:rPr>
        <w:t xml:space="preserve">À notre avis, dans l’arrêt </w:t>
      </w:r>
      <w:r w:rsidRPr="00BA79FC">
        <w:rPr>
          <w:i/>
          <w:lang w:val="fr-CA"/>
        </w:rPr>
        <w:t>Bishop</w:t>
      </w:r>
      <w:r w:rsidRPr="00BA79FC">
        <w:rPr>
          <w:lang w:val="fr-CA"/>
        </w:rPr>
        <w:t xml:space="preserve">, la Cour cite ce passage uniquement pour mettre en évidence le caractère distinct des droits énumérés au par. 3(1).  Elle n’affirme </w:t>
      </w:r>
      <w:r w:rsidRPr="00BA79FC">
        <w:rPr>
          <w:i/>
          <w:lang w:val="fr-CA"/>
        </w:rPr>
        <w:t>pas</w:t>
      </w:r>
      <w:r w:rsidRPr="00BA79FC">
        <w:rPr>
          <w:lang w:val="fr-CA"/>
        </w:rPr>
        <w:t xml:space="preserve"> qu’une </w:t>
      </w:r>
      <w:r w:rsidRPr="00BA79FC">
        <w:rPr>
          <w:i/>
          <w:lang w:val="fr-CA"/>
        </w:rPr>
        <w:t>seule</w:t>
      </w:r>
      <w:r w:rsidRPr="00BA79FC">
        <w:rPr>
          <w:lang w:val="fr-CA"/>
        </w:rPr>
        <w:t xml:space="preserve"> activité (le téléchargement) </w:t>
      </w:r>
      <w:proofErr w:type="gramStart"/>
      <w:r w:rsidRPr="00BA79FC">
        <w:rPr>
          <w:lang w:val="fr-CA"/>
        </w:rPr>
        <w:t>peut</w:t>
      </w:r>
      <w:proofErr w:type="gramEnd"/>
      <w:r w:rsidRPr="00BA79FC">
        <w:rPr>
          <w:lang w:val="fr-CA"/>
        </w:rPr>
        <w:t xml:space="preserve"> porter atteinte à deux droits distincts en même temps.  C’est ce qui ressort de l’extrait tiré de l’arrêt </w:t>
      </w:r>
      <w:proofErr w:type="spellStart"/>
      <w:r w:rsidRPr="00BA79FC">
        <w:rPr>
          <w:i/>
          <w:lang w:val="fr-CA"/>
        </w:rPr>
        <w:t>Ash</w:t>
      </w:r>
      <w:proofErr w:type="spellEnd"/>
      <w:r w:rsidRPr="00BA79FC">
        <w:rPr>
          <w:i/>
          <w:lang w:val="fr-CA"/>
        </w:rPr>
        <w:t xml:space="preserve"> </w:t>
      </w:r>
      <w:r w:rsidR="00B338CC">
        <w:rPr>
          <w:i/>
          <w:lang w:val="fr-CA"/>
        </w:rPr>
        <w:t>c</w:t>
      </w:r>
      <w:r w:rsidRPr="00BA79FC">
        <w:rPr>
          <w:i/>
          <w:lang w:val="fr-CA"/>
        </w:rPr>
        <w:t>. Hutchinson</w:t>
      </w:r>
      <w:r w:rsidRPr="00BA79FC">
        <w:rPr>
          <w:lang w:val="fr-CA"/>
        </w:rPr>
        <w:t>, qui renvoie à [</w:t>
      </w:r>
      <w:r w:rsidRPr="00BA79FC">
        <w:rPr>
          <w:smallCaps/>
          <w:lang w:val="fr-CA"/>
        </w:rPr>
        <w:t>traduction</w:t>
      </w:r>
      <w:r w:rsidRPr="00BA79FC">
        <w:rPr>
          <w:lang w:val="fr-CA"/>
        </w:rPr>
        <w:t xml:space="preserve">] « deux actes ».  Par exemple, dans l’affaire </w:t>
      </w:r>
      <w:r w:rsidRPr="00BA79FC">
        <w:rPr>
          <w:i/>
          <w:lang w:val="fr-CA"/>
        </w:rPr>
        <w:t>Bishop</w:t>
      </w:r>
      <w:r w:rsidRPr="00BA79FC">
        <w:rPr>
          <w:lang w:val="fr-CA"/>
        </w:rPr>
        <w:t xml:space="preserve">, deux activités étaient en cause : </w:t>
      </w:r>
      <w:r w:rsidR="00303D60">
        <w:rPr>
          <w:lang w:val="fr-CA"/>
        </w:rPr>
        <w:t>(</w:t>
      </w:r>
      <w:r w:rsidRPr="00BA79FC">
        <w:rPr>
          <w:lang w:val="fr-CA"/>
        </w:rPr>
        <w:t xml:space="preserve">1) la réalisation d’une copie éphémère de l’œuvre musicale en vue de sa diffusion et </w:t>
      </w:r>
      <w:r w:rsidR="00303D60">
        <w:rPr>
          <w:lang w:val="fr-CA"/>
        </w:rPr>
        <w:t>(</w:t>
      </w:r>
      <w:r w:rsidRPr="00BA79FC">
        <w:rPr>
          <w:lang w:val="fr-CA"/>
        </w:rPr>
        <w:t>2) </w:t>
      </w:r>
      <w:r w:rsidR="00B338CC">
        <w:rPr>
          <w:lang w:val="fr-CA"/>
        </w:rPr>
        <w:t>la diffusion effective de celle-</w:t>
      </w:r>
      <w:r w:rsidRPr="00BA79FC">
        <w:rPr>
          <w:lang w:val="fr-CA"/>
        </w:rPr>
        <w:t>ci.  Or, une seule activité fait l’objet de la présente espèce : le téléchargement de la copie d’un jeu vidéo contenant une œuvre musicale.</w:t>
      </w:r>
    </w:p>
    <w:p w:rsidR="00B77AA4" w:rsidRPr="00BA79FC" w:rsidRDefault="00B77AA4" w:rsidP="00B77AA4">
      <w:pPr>
        <w:pStyle w:val="ParaNoNdepar-AltN"/>
        <w:spacing w:before="240"/>
        <w:rPr>
          <w:lang w:val="fr-CA"/>
        </w:rPr>
      </w:pPr>
      <w:r w:rsidRPr="00BA79FC">
        <w:rPr>
          <w:lang w:val="fr-CA"/>
        </w:rPr>
        <w:t>Le droit de communication prévu à l’al. 3(1)</w:t>
      </w:r>
      <w:r w:rsidRPr="00BA79FC">
        <w:rPr>
          <w:i/>
          <w:lang w:val="fr-CA"/>
        </w:rPr>
        <w:t>f</w:t>
      </w:r>
      <w:r w:rsidRPr="00BA79FC">
        <w:rPr>
          <w:lang w:val="fr-CA"/>
        </w:rPr>
        <w:t xml:space="preserve">) n’est pas non plus un droit </w:t>
      </w:r>
      <w:r w:rsidRPr="00BA79FC">
        <w:rPr>
          <w:i/>
          <w:lang w:val="fr-CA"/>
        </w:rPr>
        <w:t>sui generis</w:t>
      </w:r>
      <w:r w:rsidRPr="00BA79FC">
        <w:rPr>
          <w:lang w:val="fr-CA"/>
        </w:rPr>
        <w:t xml:space="preserve"> qui s’ajoute aux droits généraux énoncés au par. 3(1).  La partie introductive définit ce qui constitue le « droit d’auteur ».  Elle dispose que le droit d’auteur « comporte » le droit exclusif de produire ou reproduire une œuvre sous une forme matérielle quelconque, d’exécuter l’œuvre ou de la représenter en public et de publier une œuvre non publiée.  Il s’agit d’une définition exhaustive, car dans sa version anglaise, le terme « </w:t>
      </w:r>
      <w:proofErr w:type="spellStart"/>
      <w:r w:rsidRPr="00BA79FC">
        <w:rPr>
          <w:i/>
          <w:lang w:val="fr-CA"/>
        </w:rPr>
        <w:t>means</w:t>
      </w:r>
      <w:proofErr w:type="spellEnd"/>
      <w:r w:rsidRPr="00BA79FC">
        <w:rPr>
          <w:lang w:val="fr-CA"/>
        </w:rPr>
        <w:t xml:space="preserve"> » en circonscrit la portée.  Le texte introductif précise à la fin que le droit d’auteur « comporte, en outre » plusieurs autres droits, qui </w:t>
      </w:r>
      <w:r w:rsidRPr="00BA79FC">
        <w:rPr>
          <w:lang w:val="fr-CA"/>
        </w:rPr>
        <w:lastRenderedPageBreak/>
        <w:t>sont énumérés aux al. </w:t>
      </w:r>
      <w:r w:rsidRPr="00BA79FC">
        <w:rPr>
          <w:i/>
          <w:lang w:val="fr-CA"/>
        </w:rPr>
        <w:t>a</w:t>
      </w:r>
      <w:r w:rsidRPr="00BA79FC">
        <w:rPr>
          <w:lang w:val="fr-CA"/>
        </w:rPr>
        <w:t xml:space="preserve">) à </w:t>
      </w:r>
      <w:r w:rsidRPr="00BA79FC">
        <w:rPr>
          <w:i/>
          <w:lang w:val="fr-CA"/>
        </w:rPr>
        <w:t>i</w:t>
      </w:r>
      <w:r w:rsidRPr="00BA79FC">
        <w:rPr>
          <w:lang w:val="fr-CA"/>
        </w:rPr>
        <w:t xml:space="preserve">).  Partant, les droits énoncés dans la partie introductive constituent l’assise fondamentale du droit d’auteur.  Ceux qui font l’objet des alinéas suivants ne sont que des exemples : </w:t>
      </w:r>
      <w:proofErr w:type="spellStart"/>
      <w:r w:rsidRPr="00BA79FC">
        <w:rPr>
          <w:lang w:val="fr-CA"/>
        </w:rPr>
        <w:t>Sunny</w:t>
      </w:r>
      <w:proofErr w:type="spellEnd"/>
      <w:r w:rsidRPr="00BA79FC">
        <w:rPr>
          <w:lang w:val="fr-CA"/>
        </w:rPr>
        <w:t xml:space="preserve"> </w:t>
      </w:r>
      <w:proofErr w:type="spellStart"/>
      <w:r w:rsidRPr="00BA79FC">
        <w:rPr>
          <w:lang w:val="fr-CA"/>
        </w:rPr>
        <w:t>Handa</w:t>
      </w:r>
      <w:proofErr w:type="spellEnd"/>
      <w:r w:rsidRPr="00BA79FC">
        <w:rPr>
          <w:lang w:val="fr-CA"/>
        </w:rPr>
        <w:t xml:space="preserve">, </w:t>
      </w:r>
      <w:r w:rsidRPr="00BA79FC">
        <w:rPr>
          <w:i/>
          <w:lang w:val="fr-CA"/>
        </w:rPr>
        <w:t>Copyright Law in Canada</w:t>
      </w:r>
      <w:r w:rsidRPr="00BA79FC">
        <w:rPr>
          <w:lang w:val="fr-CA"/>
        </w:rPr>
        <w:t xml:space="preserve"> (2002), p. 195; voir également </w:t>
      </w:r>
      <w:r w:rsidRPr="00BA79FC">
        <w:rPr>
          <w:i/>
          <w:lang w:val="fr-CA"/>
        </w:rPr>
        <w:t>Apple Computer Inc. c. Mackintosh Computers Ltd.</w:t>
      </w:r>
      <w:r w:rsidRPr="00BA79FC">
        <w:rPr>
          <w:lang w:val="fr-CA"/>
        </w:rPr>
        <w:t>, [1987] 1 C.F. 173 (1</w:t>
      </w:r>
      <w:r w:rsidRPr="00BA79FC">
        <w:rPr>
          <w:vertAlign w:val="superscript"/>
          <w:lang w:val="fr-CA"/>
        </w:rPr>
        <w:t>re</w:t>
      </w:r>
      <w:r w:rsidR="00A44FD5">
        <w:rPr>
          <w:lang w:val="fr-CA"/>
        </w:rPr>
        <w:t xml:space="preserve"> </w:t>
      </w:r>
      <w:proofErr w:type="spellStart"/>
      <w:r w:rsidR="00A44FD5">
        <w:rPr>
          <w:lang w:val="fr-CA"/>
        </w:rPr>
        <w:t>inst</w:t>
      </w:r>
      <w:proofErr w:type="spellEnd"/>
      <w:r w:rsidR="00A44FD5">
        <w:rPr>
          <w:lang w:val="fr-CA"/>
        </w:rPr>
        <w:t>.), p. 197</w:t>
      </w:r>
      <w:r w:rsidRPr="00BA79FC">
        <w:rPr>
          <w:lang w:val="fr-CA"/>
        </w:rPr>
        <w:t>.  Par exemple, le droit de location prévu à l’al. 3(1)</w:t>
      </w:r>
      <w:r w:rsidRPr="00BA79FC">
        <w:rPr>
          <w:i/>
          <w:lang w:val="fr-CA"/>
        </w:rPr>
        <w:t>i</w:t>
      </w:r>
      <w:r w:rsidRPr="00BA79FC">
        <w:rPr>
          <w:lang w:val="fr-CA"/>
        </w:rPr>
        <w:t xml:space="preserve">) et auquel renvoie le juge </w:t>
      </w:r>
      <w:proofErr w:type="spellStart"/>
      <w:r w:rsidRPr="00BA79FC">
        <w:rPr>
          <w:lang w:val="fr-CA"/>
        </w:rPr>
        <w:t>Rothstein</w:t>
      </w:r>
      <w:proofErr w:type="spellEnd"/>
      <w:r w:rsidRPr="00BA79FC">
        <w:rPr>
          <w:lang w:val="fr-CA"/>
        </w:rPr>
        <w:t xml:space="preserve"> entre aisément dans la catégorie générale des droits de reproduction.</w:t>
      </w:r>
    </w:p>
    <w:p w:rsidR="00B77AA4" w:rsidRPr="00BA79FC" w:rsidRDefault="00B77AA4" w:rsidP="00B77AA4">
      <w:pPr>
        <w:pStyle w:val="ParaNoNdepar-AltN"/>
        <w:tabs>
          <w:tab w:val="clear" w:pos="1152"/>
          <w:tab w:val="left" w:pos="1166"/>
        </w:tabs>
        <w:rPr>
          <w:lang w:val="fr-CA"/>
        </w:rPr>
      </w:pPr>
      <w:r w:rsidRPr="00BA79FC">
        <w:rPr>
          <w:lang w:val="fr-CA"/>
        </w:rPr>
        <w:t>À notre avis, la conclusion de la Commission selon laquelle distribuer sur Internet une copie permanente d’un jeu vidéo qui renferme une œuvre musicale équivaut à « communiquer » cette œuvre pour l’application de l’al. 3(1)</w:t>
      </w:r>
      <w:r w:rsidRPr="00BA79FC">
        <w:rPr>
          <w:i/>
          <w:lang w:val="fr-CA"/>
        </w:rPr>
        <w:t>f</w:t>
      </w:r>
      <w:r w:rsidRPr="00BA79FC">
        <w:rPr>
          <w:lang w:val="fr-CA"/>
        </w:rPr>
        <w:t>) doit donc être annulée.</w:t>
      </w:r>
    </w:p>
    <w:p w:rsidR="00B77AA4" w:rsidRPr="00BA79FC" w:rsidRDefault="00B77AA4" w:rsidP="00B77AA4">
      <w:pPr>
        <w:pStyle w:val="ParaNoNdepar-AltN"/>
        <w:tabs>
          <w:tab w:val="clear" w:pos="1152"/>
          <w:tab w:val="left" w:pos="1166"/>
        </w:tabs>
        <w:rPr>
          <w:lang w:val="fr-CA"/>
        </w:rPr>
      </w:pPr>
      <w:r w:rsidRPr="00BA79FC">
        <w:rPr>
          <w:lang w:val="fr-CA"/>
        </w:rPr>
        <w:t>Par conséquent, nous sommes d’avis d’accueillir le pourvoi avec dépens.</w:t>
      </w:r>
    </w:p>
    <w:p w:rsidR="00A5563B" w:rsidRPr="00A5563B" w:rsidRDefault="00A5563B" w:rsidP="00B77AA4">
      <w:pPr>
        <w:pStyle w:val="JudgeJuge"/>
        <w:spacing w:before="480"/>
        <w:jc w:val="both"/>
        <w:rPr>
          <w:smallCaps w:val="0"/>
          <w:lang w:val="fr-CA"/>
        </w:rPr>
      </w:pPr>
      <w:r>
        <w:rPr>
          <w:lang w:val="fr-CA"/>
        </w:rPr>
        <w:tab/>
      </w:r>
      <w:r w:rsidRPr="00A5563B">
        <w:rPr>
          <w:smallCaps w:val="0"/>
          <w:lang w:val="fr-CA"/>
        </w:rPr>
        <w:t>V</w:t>
      </w:r>
      <w:r>
        <w:rPr>
          <w:smallCaps w:val="0"/>
          <w:lang w:val="fr-CA"/>
        </w:rPr>
        <w:t xml:space="preserve">ersion française des motifs des juges </w:t>
      </w:r>
      <w:proofErr w:type="spellStart"/>
      <w:r>
        <w:rPr>
          <w:smallCaps w:val="0"/>
          <w:lang w:val="fr-CA"/>
        </w:rPr>
        <w:t>LeBel</w:t>
      </w:r>
      <w:proofErr w:type="spellEnd"/>
      <w:r>
        <w:rPr>
          <w:smallCaps w:val="0"/>
          <w:lang w:val="fr-CA"/>
        </w:rPr>
        <w:t xml:space="preserve">, Fish, </w:t>
      </w:r>
      <w:proofErr w:type="spellStart"/>
      <w:r>
        <w:rPr>
          <w:smallCaps w:val="0"/>
          <w:lang w:val="fr-CA"/>
        </w:rPr>
        <w:t>Rothstein</w:t>
      </w:r>
      <w:proofErr w:type="spellEnd"/>
      <w:r>
        <w:rPr>
          <w:smallCaps w:val="0"/>
          <w:lang w:val="fr-CA"/>
        </w:rPr>
        <w:t xml:space="preserve"> et Cromwell rendus par</w:t>
      </w:r>
    </w:p>
    <w:p w:rsidR="00B77AA4" w:rsidRPr="00266DE1" w:rsidRDefault="00A5563B" w:rsidP="00B77AA4">
      <w:pPr>
        <w:pStyle w:val="ParaNoNdepar-AltN"/>
        <w:rPr>
          <w:lang w:val="fr-CA"/>
        </w:rPr>
      </w:pPr>
      <w:r w:rsidRPr="00A5563B">
        <w:rPr>
          <w:smallCaps/>
          <w:lang w:val="fr-CA"/>
        </w:rPr>
        <w:t xml:space="preserve">Le juge </w:t>
      </w:r>
      <w:proofErr w:type="spellStart"/>
      <w:r w:rsidRPr="00A5563B">
        <w:rPr>
          <w:smallCaps/>
          <w:lang w:val="fr-CA"/>
        </w:rPr>
        <w:t>Rothstein</w:t>
      </w:r>
      <w:proofErr w:type="spellEnd"/>
      <w:r w:rsidRPr="00A5563B">
        <w:rPr>
          <w:lang w:val="fr-CA"/>
        </w:rPr>
        <w:t xml:space="preserve"> (dissident) </w:t>
      </w:r>
      <w:r w:rsidRPr="00266DE1">
        <w:rPr>
          <w:lang w:val="fr-CA"/>
        </w:rPr>
        <w:t xml:space="preserve">— </w:t>
      </w:r>
      <w:r w:rsidR="00B77AA4" w:rsidRPr="00266DE1">
        <w:rPr>
          <w:lang w:val="fr-CA"/>
        </w:rPr>
        <w:t>Suivant l’alinéa 3(1)</w:t>
      </w:r>
      <w:r w:rsidR="00B77AA4" w:rsidRPr="00266DE1">
        <w:rPr>
          <w:i/>
          <w:lang w:val="fr-CA"/>
        </w:rPr>
        <w:t>f</w:t>
      </w:r>
      <w:r w:rsidR="00B77AA4" w:rsidRPr="00266DE1">
        <w:rPr>
          <w:lang w:val="fr-CA"/>
        </w:rPr>
        <w:t xml:space="preserve">) de la </w:t>
      </w:r>
      <w:r w:rsidR="00B77AA4" w:rsidRPr="00266DE1">
        <w:rPr>
          <w:i/>
          <w:lang w:val="fr-CA"/>
        </w:rPr>
        <w:t>Loi sur le droit d’auteur</w:t>
      </w:r>
      <w:r>
        <w:rPr>
          <w:lang w:val="fr-CA"/>
        </w:rPr>
        <w:t>, L.R.C. 1985, ch. C-</w:t>
      </w:r>
      <w:r w:rsidR="00B77AA4" w:rsidRPr="00266DE1">
        <w:rPr>
          <w:lang w:val="fr-CA"/>
        </w:rPr>
        <w:t xml:space="preserve">42 (la </w:t>
      </w:r>
      <w:r w:rsidR="00B77AA4" w:rsidRPr="00266DE1">
        <w:rPr>
          <w:rFonts w:cs="Times New Roman"/>
          <w:lang w:val="fr-CA"/>
        </w:rPr>
        <w:t>« Loi »</w:t>
      </w:r>
      <w:r w:rsidR="00B77AA4" w:rsidRPr="00266DE1">
        <w:rPr>
          <w:lang w:val="fr-CA"/>
        </w:rPr>
        <w:t xml:space="preserve">), le titulaire du droit d’auteur a le droit exclusif de « communiquer [son œuvre] au public, par télécommunication » et d’autoriser pareille communication.  La question qui se pose en l’espèce est celle de </w:t>
      </w:r>
      <w:r w:rsidR="00B77AA4" w:rsidRPr="00266DE1">
        <w:rPr>
          <w:lang w:val="fr-CA"/>
        </w:rPr>
        <w:lastRenderedPageBreak/>
        <w:t>savoir si l’œuvre musicale est « </w:t>
      </w:r>
      <w:proofErr w:type="spellStart"/>
      <w:proofErr w:type="gramStart"/>
      <w:r w:rsidR="00B77AA4" w:rsidRPr="00266DE1">
        <w:rPr>
          <w:lang w:val="fr-CA"/>
        </w:rPr>
        <w:t>communiqu</w:t>
      </w:r>
      <w:proofErr w:type="spellEnd"/>
      <w:r w:rsidR="00B77AA4" w:rsidRPr="00266DE1">
        <w:rPr>
          <w:lang w:val="fr-CA"/>
        </w:rPr>
        <w:t>[</w:t>
      </w:r>
      <w:proofErr w:type="spellStart"/>
      <w:proofErr w:type="gramEnd"/>
      <w:r w:rsidR="00B77AA4" w:rsidRPr="00266DE1">
        <w:rPr>
          <w:lang w:val="fr-CA"/>
        </w:rPr>
        <w:t>ée</w:t>
      </w:r>
      <w:proofErr w:type="spellEnd"/>
      <w:r w:rsidR="00B77AA4" w:rsidRPr="00266DE1">
        <w:rPr>
          <w:lang w:val="fr-CA"/>
        </w:rPr>
        <w:t xml:space="preserve">] </w:t>
      </w:r>
      <w:r>
        <w:rPr>
          <w:lang w:val="fr-CA"/>
        </w:rPr>
        <w:t>[</w:t>
      </w:r>
      <w:r w:rsidR="00B77AA4" w:rsidRPr="00266DE1">
        <w:rPr>
          <w:lang w:val="fr-CA"/>
        </w:rPr>
        <w:t>. . .</w:t>
      </w:r>
      <w:r>
        <w:rPr>
          <w:lang w:val="fr-CA"/>
        </w:rPr>
        <w:t>]</w:t>
      </w:r>
      <w:r w:rsidR="00B77AA4" w:rsidRPr="00266DE1">
        <w:rPr>
          <w:lang w:val="fr-CA"/>
        </w:rPr>
        <w:t xml:space="preserve"> par télécommunication » lorsque le fichier qui la contient est téléchargé sur Internet.  </w:t>
      </w:r>
    </w:p>
    <w:p w:rsidR="00B77AA4" w:rsidRPr="00266DE1" w:rsidRDefault="00B77AA4" w:rsidP="00B77AA4">
      <w:pPr>
        <w:pStyle w:val="ParaNoNdepar-AltN"/>
        <w:rPr>
          <w:lang w:val="fr-CA"/>
        </w:rPr>
      </w:pPr>
      <w:r w:rsidRPr="00266DE1">
        <w:rPr>
          <w:lang w:val="fr-CA"/>
        </w:rPr>
        <w:t>Lorsqu’un fichier contenant une œuvre protégée est téléchargé, le titulaire du droit d’auteur a le droit d’être rémunéré pour la reproduction de son œuvre.  Le présent pourvoi a pour objet l’œuvre musicale que renferme le jeu vidéo téléchargeable sur Internet.  Les appelantes, Entertainment Software Association et l’Association canadienne du logiciel de divertissement (collectivement « ESA »), font valoir que la transmission d’une œuvre qui résulte de son téléchargement sur Internet ne donne pas droit à une rémunération supplémentaire au titre de l’al. 3(1)</w:t>
      </w:r>
      <w:r w:rsidRPr="00266DE1">
        <w:rPr>
          <w:i/>
          <w:lang w:val="fr-CA"/>
        </w:rPr>
        <w:t>f</w:t>
      </w:r>
      <w:r w:rsidRPr="00266DE1">
        <w:rPr>
          <w:lang w:val="fr-CA"/>
        </w:rPr>
        <w:t>).  L’intimée, la Société canadienne des auteurs, compositeurs et éditeurs de musique (« SOCAN »), soutient que, suivant la Loi, droit de reproduction et droit de communication sont distincts et que le titulaire du droit d’auteur doit être rémunéré pour la communication de son œuvre par téléchargement Internet.</w:t>
      </w:r>
    </w:p>
    <w:p w:rsidR="00B77AA4" w:rsidRPr="00266DE1" w:rsidRDefault="00B77AA4" w:rsidP="00B77AA4">
      <w:pPr>
        <w:pStyle w:val="ParaNoNdepar-AltN"/>
        <w:rPr>
          <w:lang w:val="fr-CA"/>
        </w:rPr>
      </w:pPr>
      <w:r w:rsidRPr="00266DE1">
        <w:rPr>
          <w:lang w:val="fr-CA"/>
        </w:rPr>
        <w:t xml:space="preserve">Mes collègues les juges Abella et </w:t>
      </w:r>
      <w:proofErr w:type="spellStart"/>
      <w:r w:rsidRPr="00266DE1">
        <w:rPr>
          <w:lang w:val="fr-CA"/>
        </w:rPr>
        <w:t>Moldaver</w:t>
      </w:r>
      <w:proofErr w:type="spellEnd"/>
      <w:r w:rsidRPr="00266DE1">
        <w:rPr>
          <w:lang w:val="fr-CA"/>
        </w:rPr>
        <w:t xml:space="preserve"> sont en désaccord avec moi en ce qui concerne certains principes fondamentaux du droit d’auteur.  J’estime que notre Cour a déjà établi les principes devant présider à l’analyse qui s’impose en l’espèce.  Le droit d’auteur tire son origine de la loi (</w:t>
      </w:r>
      <w:proofErr w:type="spellStart"/>
      <w:r w:rsidRPr="00266DE1">
        <w:rPr>
          <w:i/>
          <w:lang w:val="fr-CA"/>
        </w:rPr>
        <w:t>Théberge</w:t>
      </w:r>
      <w:proofErr w:type="spellEnd"/>
      <w:r w:rsidRPr="00266DE1">
        <w:rPr>
          <w:i/>
          <w:lang w:val="fr-CA"/>
        </w:rPr>
        <w:t xml:space="preserve"> c. Galerie d’Art du Petit Champlain </w:t>
      </w:r>
      <w:proofErr w:type="spellStart"/>
      <w:r w:rsidRPr="00266DE1">
        <w:rPr>
          <w:i/>
          <w:lang w:val="fr-CA"/>
        </w:rPr>
        <w:t>inc</w:t>
      </w:r>
      <w:proofErr w:type="spellEnd"/>
      <w:r w:rsidRPr="00266DE1">
        <w:rPr>
          <w:i/>
          <w:lang w:val="fr-CA"/>
        </w:rPr>
        <w:t>.</w:t>
      </w:r>
      <w:r w:rsidRPr="00266DE1">
        <w:rPr>
          <w:lang w:val="fr-CA"/>
        </w:rPr>
        <w:t xml:space="preserve">, 2002 CSC 34, [2002] 2 R.C.S. 336, par. 5; </w:t>
      </w:r>
      <w:r w:rsidRPr="00266DE1">
        <w:rPr>
          <w:i/>
          <w:lang w:val="fr-CA"/>
        </w:rPr>
        <w:t>Compo Co. c. Blue Crest Music Inc.</w:t>
      </w:r>
      <w:r w:rsidRPr="00266DE1">
        <w:rPr>
          <w:lang w:val="fr-CA"/>
        </w:rPr>
        <w:t xml:space="preserve">, [1980] 1 R.C.S. 357, p. 373; </w:t>
      </w:r>
      <w:r w:rsidRPr="00266DE1">
        <w:rPr>
          <w:i/>
          <w:lang w:val="fr-CA"/>
        </w:rPr>
        <w:t>Bishop c. Stevens</w:t>
      </w:r>
      <w:r w:rsidRPr="00266DE1">
        <w:rPr>
          <w:lang w:val="fr-CA"/>
        </w:rPr>
        <w:t>, [1990] 2 R.C.S. 467, p. 477) et il est constitué d’un ensemble de droits légaux distincts (</w:t>
      </w:r>
      <w:r w:rsidRPr="00266DE1">
        <w:rPr>
          <w:i/>
          <w:lang w:val="fr-CA"/>
        </w:rPr>
        <w:t>Bishop c. Stevens</w:t>
      </w:r>
      <w:r w:rsidRPr="00266DE1">
        <w:rPr>
          <w:lang w:val="fr-CA"/>
        </w:rPr>
        <w:t xml:space="preserve">, p. 477; </w:t>
      </w:r>
      <w:r w:rsidRPr="00266DE1">
        <w:rPr>
          <w:i/>
          <w:lang w:val="fr-CA"/>
        </w:rPr>
        <w:t>Compo Co. c. Blue Crest Music Inc.</w:t>
      </w:r>
      <w:r w:rsidRPr="00266DE1">
        <w:rPr>
          <w:lang w:val="fr-CA"/>
        </w:rPr>
        <w:t xml:space="preserve">, p. 373).  Les tribunaux doivent appliquer </w:t>
      </w:r>
      <w:r w:rsidRPr="00266DE1">
        <w:rPr>
          <w:lang w:val="fr-CA"/>
        </w:rPr>
        <w:lastRenderedPageBreak/>
        <w:t xml:space="preserve">ces droits distincts conformément à la volonté exprimée par le législateur.  Ils doivent respecter le libellé de la loi et se garder d’y passer outre même s’il leur faut se rappeler que la </w:t>
      </w:r>
      <w:r w:rsidRPr="00266DE1">
        <w:rPr>
          <w:i/>
          <w:lang w:val="fr-CA"/>
        </w:rPr>
        <w:t>Loi sur le droit d’auteur</w:t>
      </w:r>
      <w:r w:rsidRPr="00266DE1">
        <w:rPr>
          <w:lang w:val="fr-CA"/>
        </w:rPr>
        <w:t xml:space="preserve"> « </w:t>
      </w:r>
      <w:proofErr w:type="spellStart"/>
      <w:r w:rsidRPr="00266DE1">
        <w:rPr>
          <w:lang w:val="fr-CA"/>
        </w:rPr>
        <w:t>établ</w:t>
      </w:r>
      <w:proofErr w:type="spellEnd"/>
      <w:r w:rsidRPr="00266DE1">
        <w:rPr>
          <w:lang w:val="fr-CA"/>
        </w:rPr>
        <w:t>[</w:t>
      </w:r>
      <w:proofErr w:type="spellStart"/>
      <w:r w:rsidRPr="00266DE1">
        <w:rPr>
          <w:lang w:val="fr-CA"/>
        </w:rPr>
        <w:t>it</w:t>
      </w:r>
      <w:proofErr w:type="spellEnd"/>
      <w:r w:rsidRPr="00266DE1">
        <w:rPr>
          <w:lang w:val="fr-CA"/>
        </w:rPr>
        <w:t>] un équilibre entre, d’une part, la promotion, dans l’intérêt du public, de la création et de la diffusion des œuvres artistiques et intellectuelles et, d’autre part, l’obtention d’une juste récompense pour le créateur », ce qui requiert « non seulement [de reconnaître] les droits du créateur, mais aussi [d’accorder] l’importance qu’il convient à la nature limitée de ces droits » (</w:t>
      </w:r>
      <w:proofErr w:type="spellStart"/>
      <w:r w:rsidRPr="00266DE1">
        <w:rPr>
          <w:i/>
          <w:lang w:val="fr-CA"/>
        </w:rPr>
        <w:t>Théberge</w:t>
      </w:r>
      <w:proofErr w:type="spellEnd"/>
      <w:r w:rsidRPr="00266DE1">
        <w:rPr>
          <w:lang w:val="fr-CA"/>
        </w:rPr>
        <w:t>, par. 30</w:t>
      </w:r>
      <w:r w:rsidR="002D6374">
        <w:rPr>
          <w:lang w:val="fr-CA"/>
        </w:rPr>
        <w:t>-</w:t>
      </w:r>
      <w:r w:rsidRPr="00266DE1">
        <w:rPr>
          <w:lang w:val="fr-CA"/>
        </w:rPr>
        <w:t>31).</w:t>
      </w:r>
    </w:p>
    <w:p w:rsidR="00B77AA4" w:rsidRPr="00266DE1" w:rsidRDefault="00B77AA4" w:rsidP="00B77AA4">
      <w:pPr>
        <w:pStyle w:val="ParaNoNdepar-AltN"/>
        <w:rPr>
          <w:lang w:val="fr-CA"/>
        </w:rPr>
      </w:pPr>
      <w:r w:rsidRPr="00266DE1">
        <w:rPr>
          <w:lang w:val="fr-CA"/>
        </w:rPr>
        <w:t xml:space="preserve">À mon humble avis, la position de mes collègues écarte ces principes bien établis.  Ils estiment d’abord qu’une fois négociés les droits de reproduction de l’œuvre musicale contenue dans le jeu vidéo, « le titulaire du droit d’auteur sur l’œuvre musicale ne peut plus prétendre à des droits supplémentaires lors de la vente du jeu » (les juges Abella et </w:t>
      </w:r>
      <w:proofErr w:type="spellStart"/>
      <w:r w:rsidRPr="00266DE1">
        <w:rPr>
          <w:lang w:val="fr-CA"/>
        </w:rPr>
        <w:t>Moldaver</w:t>
      </w:r>
      <w:proofErr w:type="spellEnd"/>
      <w:r w:rsidRPr="00266DE1">
        <w:rPr>
          <w:lang w:val="fr-CA"/>
        </w:rPr>
        <w:t xml:space="preserve">, par. 1).  Ils invoquent à l’appui le principe de la neutralité technologique selon lequel la vente d’un </w:t>
      </w:r>
      <w:r w:rsidRPr="00266DE1">
        <w:rPr>
          <w:i/>
          <w:lang w:val="fr-CA"/>
        </w:rPr>
        <w:t>exemplaire numérique</w:t>
      </w:r>
      <w:r w:rsidRPr="00266DE1">
        <w:rPr>
          <w:lang w:val="fr-CA"/>
        </w:rPr>
        <w:t xml:space="preserve"> du jeu vidéo, par transmission Internet, ne doit pas emporter l’application d’autres droits protégés que celui de reproduire, car la production et la vente d’un exemplaire du jeu sur </w:t>
      </w:r>
      <w:r w:rsidRPr="00266DE1">
        <w:rPr>
          <w:i/>
          <w:lang w:val="fr-CA"/>
        </w:rPr>
        <w:t>support traditionnel</w:t>
      </w:r>
      <w:r w:rsidRPr="00266DE1">
        <w:rPr>
          <w:lang w:val="fr-CA"/>
        </w:rPr>
        <w:t xml:space="preserve"> ne met en cause que le droit de reproduire l’œuvre musicale qu’il renferme.  Pour mes collègues, « Internet ne représente qu’un taxi technologique assurant la livraison d</w:t>
      </w:r>
      <w:r w:rsidR="00F6074A">
        <w:rPr>
          <w:lang w:val="fr-CA"/>
        </w:rPr>
        <w:t xml:space="preserve">’une copie durable de la même </w:t>
      </w:r>
      <w:r w:rsidR="00F6074A">
        <w:rPr>
          <w:rFonts w:cs="Times New Roman"/>
          <w:lang w:val="fr-CA"/>
        </w:rPr>
        <w:t>œ</w:t>
      </w:r>
      <w:r w:rsidRPr="00266DE1">
        <w:rPr>
          <w:lang w:val="fr-CA"/>
        </w:rPr>
        <w:t>uvre à l’utilisateur » (par. 5).  Ils affirment que la question en litige dans le pourvoi est celle de savoir « si les droits renaissent néanmoins lorsque l’œuvre est vendue sur Internet plutôt qu’en magasin » (par. 1).</w:t>
      </w:r>
    </w:p>
    <w:p w:rsidR="00B77AA4" w:rsidRPr="00266DE1" w:rsidRDefault="00B77AA4" w:rsidP="00B77AA4">
      <w:pPr>
        <w:pStyle w:val="ParaNoNdepar-AltN"/>
        <w:rPr>
          <w:lang w:val="fr-CA"/>
        </w:rPr>
      </w:pPr>
      <w:r w:rsidRPr="00266DE1">
        <w:rPr>
          <w:lang w:val="fr-CA"/>
        </w:rPr>
        <w:lastRenderedPageBreak/>
        <w:t>En règle générale, la neutralité technologique est souhaitable en matière de droit d’auteur.  Il ne s’agit cependant pas d’une exigence légale susceptible de primer le texte de la Loi ou de faire obstacle à l’application des différents droits protégés par le législateur.  Fondamentalement, la thèse défendue par mes collègues empêche l’application d’autres droits du titulaire du droit d’auteur dans les circonstances considérées et dépouille ces droits de leur objet distinct.  Point n’est besoin de faire renaître des droits qui n’ont jamais été épuisés.</w:t>
      </w:r>
    </w:p>
    <w:p w:rsidR="00B77AA4" w:rsidRPr="00266DE1" w:rsidRDefault="00B77AA4" w:rsidP="00B77AA4">
      <w:pPr>
        <w:pStyle w:val="ParaNoNdepar-AltN"/>
        <w:rPr>
          <w:lang w:val="fr-CA"/>
        </w:rPr>
      </w:pPr>
      <w:r w:rsidRPr="00266DE1">
        <w:rPr>
          <w:lang w:val="fr-CA"/>
        </w:rPr>
        <w:t>Sous bien des rapports, il est certes légitime de voir dans Internet un taxi technologique; or, celui</w:t>
      </w:r>
      <w:r w:rsidR="002F38C1">
        <w:rPr>
          <w:lang w:val="fr-CA"/>
        </w:rPr>
        <w:t>-</w:t>
      </w:r>
      <w:r w:rsidRPr="00266DE1">
        <w:rPr>
          <w:lang w:val="fr-CA"/>
        </w:rPr>
        <w:t>ci n’a pas à offrir de courses gratuites.</w:t>
      </w:r>
    </w:p>
    <w:p w:rsidR="00B77AA4" w:rsidRPr="00266DE1" w:rsidRDefault="00B77AA4" w:rsidP="00B77AA4">
      <w:pPr>
        <w:pStyle w:val="TitleTitre-AltT"/>
        <w:numPr>
          <w:ilvl w:val="0"/>
          <w:numId w:val="21"/>
        </w:numPr>
        <w:tabs>
          <w:tab w:val="clear" w:pos="360"/>
          <w:tab w:val="left" w:pos="450"/>
        </w:tabs>
        <w:ind w:left="0" w:firstLine="0"/>
        <w:rPr>
          <w:u w:val="single"/>
          <w:lang w:val="fr-CA"/>
        </w:rPr>
      </w:pPr>
      <w:r w:rsidRPr="00266DE1">
        <w:rPr>
          <w:u w:val="single"/>
          <w:lang w:val="fr-CA"/>
        </w:rPr>
        <w:t>Faits et historique judiciaire</w:t>
      </w:r>
    </w:p>
    <w:p w:rsidR="00B77AA4" w:rsidRPr="00266DE1" w:rsidRDefault="00B77AA4" w:rsidP="00B77AA4">
      <w:pPr>
        <w:pStyle w:val="ParaNoNdepar-AltN"/>
        <w:rPr>
          <w:lang w:val="fr-CA"/>
        </w:rPr>
      </w:pPr>
      <w:r w:rsidRPr="00266DE1">
        <w:rPr>
          <w:lang w:val="fr-CA"/>
        </w:rPr>
        <w:t>Saisie d’une demande de contrôle judiciaire, la Cour d’appel fédérale (« CAF ») a confirmé la décision de la Commission du droit d’auteur, à savoir que télécharger une œuvre musicale équivaut à la « communiquer au public, par télécommunication » pour l’application de l’al. 3(1)</w:t>
      </w:r>
      <w:r w:rsidRPr="00266DE1">
        <w:rPr>
          <w:i/>
          <w:lang w:val="fr-CA"/>
        </w:rPr>
        <w:t>f</w:t>
      </w:r>
      <w:r w:rsidRPr="00266DE1">
        <w:rPr>
          <w:lang w:val="fr-CA"/>
        </w:rPr>
        <w:t>) de la Loi et emporte le droit des membres de la SOCAN à une rémunération selon le tarif homologué.  C’est contre cette décision de la CAF qu’ESA se pourvoit devant notre Cour.</w:t>
      </w:r>
    </w:p>
    <w:p w:rsidR="00B77AA4" w:rsidRPr="00266DE1" w:rsidRDefault="00B77AA4" w:rsidP="00B77AA4">
      <w:pPr>
        <w:pStyle w:val="ParaNoNdepar-AltN"/>
        <w:rPr>
          <w:lang w:val="fr-CA"/>
        </w:rPr>
      </w:pPr>
      <w:r w:rsidRPr="00266DE1">
        <w:rPr>
          <w:lang w:val="fr-CA"/>
        </w:rPr>
        <w:t xml:space="preserve">ESA représente les éditeurs et les distributeurs de jeux vidéo.  Un jeu vidéo est un logiciel de divertissement constitué de millions de lignes de codes.  Une </w:t>
      </w:r>
      <w:r w:rsidRPr="00266DE1">
        <w:rPr>
          <w:lang w:val="fr-CA"/>
        </w:rPr>
        <w:lastRenderedPageBreak/>
        <w:t xml:space="preserve">fois installé dans l’ordinateur puis activé, le logiciel crée des effets audiovisuels au gré de l’utilisateur.  La bande sonore du jeu peut inclure une œuvre musicale.  </w:t>
      </w:r>
    </w:p>
    <w:p w:rsidR="00B77AA4" w:rsidRPr="00266DE1" w:rsidRDefault="00B77AA4" w:rsidP="00B77AA4">
      <w:pPr>
        <w:pStyle w:val="ParaNoNdepar-AltN"/>
        <w:rPr>
          <w:lang w:val="fr-CA"/>
        </w:rPr>
      </w:pPr>
      <w:r w:rsidRPr="00266DE1">
        <w:rPr>
          <w:lang w:val="fr-CA"/>
        </w:rPr>
        <w:t>On peut acheter un jeu vidéo sur Internet.  Le client accède au site du fournisseur, paie le prix d’achat, puis télécharge le jeu vidéo.  Une copie permanente du logiciel lui est alors transmise sur son disque dur.  Ce mode de distribution fait concurrence à l’acquisition traditionnelle en magasin d’un jeu vidéo stocké sur disque compact ou sur cartouche.</w:t>
      </w:r>
    </w:p>
    <w:p w:rsidR="00B77AA4" w:rsidRPr="00266DE1" w:rsidRDefault="00B77AA4" w:rsidP="00B77AA4">
      <w:pPr>
        <w:pStyle w:val="ParaNoNdepar-AltN"/>
        <w:rPr>
          <w:lang w:val="fr-CA"/>
        </w:rPr>
      </w:pPr>
      <w:r w:rsidRPr="00266DE1">
        <w:rPr>
          <w:lang w:val="fr-CA"/>
        </w:rPr>
        <w:t xml:space="preserve">Le client doit ensuite installer le programme dans son ordinateur, qu’il l’ait téléchargé sur Internet ou acheté sur CD.  Ce n’est qu’une fois l’installation terminée que le client peut lancer le jeu et en percevoir les effets audiovisuels.  Ni le jeu ni ses effets ne sont perceptibles pendant la transmission du fichier du vendeur à l’utilisateur, ce qui revêtirait une importance cruciale en l’espèce.  </w:t>
      </w:r>
    </w:p>
    <w:p w:rsidR="00B77AA4" w:rsidRPr="00266DE1" w:rsidRDefault="00B77AA4" w:rsidP="00B77AA4">
      <w:pPr>
        <w:pStyle w:val="ParaNoNdepar-AltN"/>
        <w:rPr>
          <w:lang w:val="fr-CA"/>
        </w:rPr>
      </w:pPr>
      <w:r w:rsidRPr="00266DE1">
        <w:rPr>
          <w:lang w:val="fr-CA"/>
        </w:rPr>
        <w:t xml:space="preserve">Dans ce secteur d’activité, l’usage veut que l’éditeur négocie l’affranchissement des droits de </w:t>
      </w:r>
      <w:r w:rsidRPr="00266DE1">
        <w:rPr>
          <w:i/>
          <w:lang w:val="fr-CA"/>
        </w:rPr>
        <w:t>reproduction</w:t>
      </w:r>
      <w:r w:rsidRPr="00266DE1">
        <w:rPr>
          <w:lang w:val="fr-CA"/>
        </w:rPr>
        <w:t xml:space="preserve"> d’une </w:t>
      </w:r>
      <w:r w:rsidRPr="00266DE1">
        <w:rPr>
          <w:rFonts w:cs="Times New Roman"/>
          <w:lang w:val="fr-CA"/>
        </w:rPr>
        <w:t>œu</w:t>
      </w:r>
      <w:r w:rsidRPr="00266DE1">
        <w:rPr>
          <w:lang w:val="fr-CA"/>
        </w:rPr>
        <w:t>vre musicale avant de lancer le jeu vidéo auquel celle</w:t>
      </w:r>
      <w:r w:rsidR="002F38C1">
        <w:rPr>
          <w:lang w:val="fr-CA"/>
        </w:rPr>
        <w:t>-</w:t>
      </w:r>
      <w:r w:rsidRPr="00266DE1">
        <w:rPr>
          <w:lang w:val="fr-CA"/>
        </w:rPr>
        <w:t xml:space="preserve">ci est intégrée.  Il est admis que, une fois les droits de reproduction acquittés, le titulaire du droit d’auteur sur l’œuvre musicale ne peut prétendre à des droits supplémentaires lorsque le jeu vidéo est vendu dans un magasin ayant pignon sur rue ou expédié par la poste sur disque compact. </w:t>
      </w:r>
    </w:p>
    <w:p w:rsidR="00B77AA4" w:rsidRPr="00266DE1" w:rsidRDefault="00B77AA4" w:rsidP="00B77AA4">
      <w:pPr>
        <w:pStyle w:val="ParaNoNdepar-AltN"/>
        <w:rPr>
          <w:lang w:val="fr-CA"/>
        </w:rPr>
      </w:pPr>
      <w:r w:rsidRPr="00266DE1">
        <w:rPr>
          <w:lang w:val="fr-CA"/>
        </w:rPr>
        <w:lastRenderedPageBreak/>
        <w:t xml:space="preserve">La SOCAN représente les compositeurs, les auteurs et les éditeurs de musique.  Elle gère les droits d’exécution en public et de communication au public par télécommunication de leurs œuvres protégées.  Elle dépose des projets de tarifs auprès de la Commission et perçoit pour le compte de ses membres les redevances établies par cette dernière.  </w:t>
      </w:r>
    </w:p>
    <w:p w:rsidR="00B77AA4" w:rsidRPr="00266DE1" w:rsidRDefault="00B77AA4" w:rsidP="00B77AA4">
      <w:pPr>
        <w:pStyle w:val="ParaNoNdepar-AltN"/>
        <w:rPr>
          <w:lang w:val="fr-CA"/>
        </w:rPr>
      </w:pPr>
      <w:r w:rsidRPr="00266DE1">
        <w:rPr>
          <w:lang w:val="fr-CA"/>
        </w:rPr>
        <w:t>La présente instance vise des projets tarifaires déposés par la SOCAN en 1995 pour diverses utilisations d’œuvres musicales protégées constituant à son avis des communications au public sur Internet.  Ces projets ont fait l’objet d’oppositions.  En 1996, la Commission a décidé d’examiner d’abord les questions juridiques puis d’établir le tarif des redevances.  La première phase consistait à « </w:t>
      </w:r>
      <w:r w:rsidR="00F6074A">
        <w:rPr>
          <w:lang w:val="fr-CA"/>
        </w:rPr>
        <w:t>[déterminer] quelles activités sur [. . .</w:t>
      </w:r>
      <w:r w:rsidR="003A24AB">
        <w:rPr>
          <w:lang w:val="fr-CA"/>
        </w:rPr>
        <w:t>]</w:t>
      </w:r>
      <w:r w:rsidR="00F6074A">
        <w:rPr>
          <w:lang w:val="fr-CA"/>
        </w:rPr>
        <w:t xml:space="preserve"> </w:t>
      </w:r>
      <w:r w:rsidRPr="00266DE1">
        <w:rPr>
          <w:lang w:val="fr-CA"/>
        </w:rPr>
        <w:t>Internet, le cas échéant, constituent une utilisation protégée [d’une œuvre musicale du répertoire de la SOCAN] visée par le tarif » (</w:t>
      </w:r>
      <w:r w:rsidRPr="00266DE1">
        <w:rPr>
          <w:i/>
          <w:lang w:val="fr-CA"/>
        </w:rPr>
        <w:t>Tarif des redevances, Exécution publique d’œuvres musicales 1996, 1997, 1998 (Tarif 22, Internet</w:t>
      </w:r>
      <w:r w:rsidRPr="00A44FD5">
        <w:rPr>
          <w:i/>
          <w:lang w:val="fr-CA"/>
        </w:rPr>
        <w:t>)</w:t>
      </w:r>
      <w:r w:rsidRPr="00266DE1">
        <w:rPr>
          <w:lang w:val="fr-CA"/>
        </w:rPr>
        <w:t xml:space="preserve"> (en ligne) (la « décision concernant le tarif 22 »)</w:t>
      </w:r>
      <w:r w:rsidR="00F6074A">
        <w:rPr>
          <w:lang w:val="fr-CA"/>
        </w:rPr>
        <w:t xml:space="preserve">, </w:t>
      </w:r>
      <w:r w:rsidR="003B1184">
        <w:rPr>
          <w:lang w:val="fr-CA"/>
        </w:rPr>
        <w:t xml:space="preserve">p. </w:t>
      </w:r>
      <w:r w:rsidRPr="00266DE1">
        <w:rPr>
          <w:lang w:val="fr-CA"/>
        </w:rPr>
        <w:t>2).</w:t>
      </w:r>
    </w:p>
    <w:p w:rsidR="00B77AA4" w:rsidRPr="00266DE1" w:rsidRDefault="00B77AA4" w:rsidP="00B77AA4">
      <w:pPr>
        <w:pStyle w:val="ParaNoNdepar-AltN"/>
        <w:rPr>
          <w:lang w:val="fr-CA"/>
        </w:rPr>
      </w:pPr>
      <w:r w:rsidRPr="00266DE1">
        <w:rPr>
          <w:lang w:val="fr-CA"/>
        </w:rPr>
        <w:t xml:space="preserve">Le 27 octobre 1999, à l’issue de cette phase initiale, la Commission a statué sur les questions de droit et de compétence (la décision concernant le tarif 22).  Sa décision a été contestée en appel jusque devant notre Cour, mais sur une autre question que celle de la communication au public par télécommunication dont nous sommes aujourd’hui saisis.  Toutefois, dans l’arrêt </w:t>
      </w:r>
      <w:r w:rsidRPr="00266DE1">
        <w:rPr>
          <w:i/>
          <w:lang w:val="fr-CA"/>
        </w:rPr>
        <w:t xml:space="preserve">Société canadienne des auteurs, compositeurs et éditeurs de musique c. </w:t>
      </w:r>
      <w:proofErr w:type="spellStart"/>
      <w:r w:rsidRPr="00266DE1">
        <w:rPr>
          <w:i/>
          <w:lang w:val="fr-CA"/>
        </w:rPr>
        <w:t>Assoc</w:t>
      </w:r>
      <w:proofErr w:type="spellEnd"/>
      <w:r w:rsidRPr="00266DE1">
        <w:rPr>
          <w:i/>
          <w:lang w:val="fr-CA"/>
        </w:rPr>
        <w:t>. canadienne des fournisseurs Internet</w:t>
      </w:r>
      <w:r w:rsidRPr="00266DE1">
        <w:rPr>
          <w:lang w:val="fr-CA"/>
        </w:rPr>
        <w:t>, 2004 CSC 45, [2004] 2 R.C.S. 427 (« </w:t>
      </w:r>
      <w:r w:rsidRPr="00266DE1">
        <w:rPr>
          <w:i/>
          <w:lang w:val="fr-CA"/>
        </w:rPr>
        <w:t>SOCAN c. ACFI </w:t>
      </w:r>
      <w:r w:rsidRPr="00266DE1">
        <w:rPr>
          <w:lang w:val="fr-CA"/>
        </w:rPr>
        <w:t xml:space="preserve">»), par. 30, le juge Binnie </w:t>
      </w:r>
      <w:r w:rsidRPr="00266DE1">
        <w:rPr>
          <w:lang w:val="fr-CA"/>
        </w:rPr>
        <w:lastRenderedPageBreak/>
        <w:t>relève la conclusion de la Commission suivant laquelle « une communication Internet a lieu au moment où l’œuvre est transmise du serveur hôte à l’ordinateur de l’utilisateur final, que l’écoute ou le visionnement soit immédiat ou ultérieur, ou n’ait jamais lieu » (voir la décision concernant le tarif 22, p. 36), un point qui, selon lui, « n’est plus contesté ».</w:t>
      </w:r>
    </w:p>
    <w:p w:rsidR="00B77AA4" w:rsidRPr="00266DE1" w:rsidRDefault="00B77AA4" w:rsidP="00B77AA4">
      <w:pPr>
        <w:pStyle w:val="ParaNoNdepar-AltN"/>
        <w:autoSpaceDE w:val="0"/>
        <w:autoSpaceDN w:val="0"/>
        <w:adjustRightInd w:val="0"/>
        <w:rPr>
          <w:lang w:val="fr-CA"/>
        </w:rPr>
      </w:pPr>
      <w:r w:rsidRPr="00266DE1">
        <w:rPr>
          <w:lang w:val="fr-CA"/>
        </w:rPr>
        <w:t xml:space="preserve">En 2005, la SOCAN a modifié son projet tarifaire pour créer sept catégories correspondant chacune à une activité Internet distincte.  La sixième catégorie, celle des « Sites de </w:t>
      </w:r>
      <w:r w:rsidR="00AB6C2F">
        <w:rPr>
          <w:lang w:val="fr-CA"/>
        </w:rPr>
        <w:t>[</w:t>
      </w:r>
      <w:r w:rsidRPr="00266DE1">
        <w:rPr>
          <w:lang w:val="fr-CA"/>
        </w:rPr>
        <w:t>j</w:t>
      </w:r>
      <w:r w:rsidR="00AB6C2F">
        <w:rPr>
          <w:lang w:val="fr-CA"/>
        </w:rPr>
        <w:t>]</w:t>
      </w:r>
      <w:r w:rsidRPr="00266DE1">
        <w:rPr>
          <w:lang w:val="fr-CA"/>
        </w:rPr>
        <w:t>eux » regroupe « </w:t>
      </w:r>
      <w:r w:rsidRPr="00266DE1">
        <w:rPr>
          <w:rFonts w:cs="Times New Roman"/>
          <w:szCs w:val="20"/>
          <w:lang w:val="fr-CA"/>
        </w:rPr>
        <w:t>les communications d’œuvres musicales faisant partie de</w:t>
      </w:r>
      <w:r w:rsidRPr="00266DE1">
        <w:rPr>
          <w:lang w:val="fr-CA"/>
        </w:rPr>
        <w:t xml:space="preserve"> </w:t>
      </w:r>
      <w:r w:rsidRPr="00266DE1">
        <w:rPr>
          <w:rFonts w:cs="Times New Roman"/>
          <w:szCs w:val="20"/>
          <w:lang w:val="fr-CA"/>
        </w:rPr>
        <w:t xml:space="preserve">jeux, y compris le jeu de hasard, de </w:t>
      </w:r>
      <w:r w:rsidR="00AB6C2F">
        <w:rPr>
          <w:rFonts w:cs="Times New Roman"/>
          <w:szCs w:val="20"/>
          <w:lang w:val="fr-CA"/>
        </w:rPr>
        <w:t>[</w:t>
      </w:r>
      <w:r w:rsidRPr="00266DE1">
        <w:rPr>
          <w:rFonts w:cs="Times New Roman"/>
          <w:szCs w:val="20"/>
          <w:lang w:val="fr-CA"/>
        </w:rPr>
        <w:t>s</w:t>
      </w:r>
      <w:r w:rsidR="00AB6C2F">
        <w:rPr>
          <w:rFonts w:cs="Times New Roman"/>
          <w:szCs w:val="20"/>
          <w:lang w:val="fr-CA"/>
        </w:rPr>
        <w:t>]</w:t>
      </w:r>
      <w:proofErr w:type="spellStart"/>
      <w:r w:rsidRPr="00266DE1">
        <w:rPr>
          <w:rFonts w:cs="Times New Roman"/>
          <w:szCs w:val="20"/>
          <w:lang w:val="fr-CA"/>
        </w:rPr>
        <w:t>ites</w:t>
      </w:r>
      <w:proofErr w:type="spellEnd"/>
      <w:r w:rsidRPr="00266DE1">
        <w:rPr>
          <w:rFonts w:cs="Times New Roman"/>
          <w:szCs w:val="20"/>
          <w:lang w:val="fr-CA"/>
        </w:rPr>
        <w:t xml:space="preserve"> ou de </w:t>
      </w:r>
      <w:r w:rsidR="00F5788C">
        <w:rPr>
          <w:rFonts w:cs="Times New Roman"/>
          <w:szCs w:val="20"/>
          <w:lang w:val="fr-CA"/>
        </w:rPr>
        <w:t>[</w:t>
      </w:r>
      <w:r w:rsidRPr="00266DE1">
        <w:rPr>
          <w:rFonts w:cs="Times New Roman"/>
          <w:szCs w:val="20"/>
          <w:lang w:val="fr-CA"/>
        </w:rPr>
        <w:t>s</w:t>
      </w:r>
      <w:r w:rsidR="00F5788C">
        <w:rPr>
          <w:rFonts w:cs="Times New Roman"/>
          <w:szCs w:val="20"/>
          <w:lang w:val="fr-CA"/>
        </w:rPr>
        <w:t>]</w:t>
      </w:r>
      <w:proofErr w:type="spellStart"/>
      <w:r w:rsidRPr="00266DE1">
        <w:rPr>
          <w:rFonts w:cs="Times New Roman"/>
          <w:szCs w:val="20"/>
          <w:lang w:val="fr-CA"/>
        </w:rPr>
        <w:t>ervices</w:t>
      </w:r>
      <w:proofErr w:type="spellEnd"/>
      <w:r w:rsidRPr="00266DE1">
        <w:rPr>
          <w:rFonts w:cs="Times New Roman"/>
          <w:szCs w:val="20"/>
          <w:lang w:val="fr-CA"/>
        </w:rPr>
        <w:t xml:space="preserve"> qui consistent surtout [dans des] jeux</w:t>
      </w:r>
      <w:r w:rsidRPr="00266DE1">
        <w:rPr>
          <w:lang w:val="fr-CA"/>
        </w:rPr>
        <w:t> » (</w:t>
      </w:r>
      <w:r w:rsidRPr="00266DE1">
        <w:rPr>
          <w:i/>
          <w:lang w:val="fr-CA"/>
        </w:rPr>
        <w:t>Projet de tarifs des redevances à percevoir par la SOCAN pour l’exécution en public ou la communication au public par télécommunication, au Canada, d’</w:t>
      </w:r>
      <w:r w:rsidR="00F5788C">
        <w:rPr>
          <w:rFonts w:cs="Times New Roman"/>
          <w:i/>
          <w:lang w:val="fr-CA"/>
        </w:rPr>
        <w:t>œ</w:t>
      </w:r>
      <w:r w:rsidRPr="00266DE1">
        <w:rPr>
          <w:i/>
          <w:lang w:val="fr-CA"/>
        </w:rPr>
        <w:t xml:space="preserve">uvres musicales ou </w:t>
      </w:r>
      <w:proofErr w:type="spellStart"/>
      <w:r w:rsidRPr="00266DE1">
        <w:rPr>
          <w:i/>
          <w:lang w:val="fr-CA"/>
        </w:rPr>
        <w:t>dramatico</w:t>
      </w:r>
      <w:proofErr w:type="spellEnd"/>
      <w:r w:rsidR="002F38C1">
        <w:rPr>
          <w:i/>
          <w:lang w:val="fr-CA"/>
        </w:rPr>
        <w:t>-</w:t>
      </w:r>
      <w:r w:rsidRPr="00266DE1">
        <w:rPr>
          <w:i/>
          <w:lang w:val="fr-CA"/>
        </w:rPr>
        <w:t>musicales</w:t>
      </w:r>
      <w:r w:rsidRPr="00266DE1">
        <w:rPr>
          <w:lang w:val="fr-CA"/>
        </w:rPr>
        <w:t xml:space="preserve"> (2005), 139 Gaz. Can. I (suppl.), p. 18).  Lors de la deuxième phase du processus, celle de l’établissement d’un tarif pour la communication d’œuvres musicales sur Internet pour les années 1996 à 2006, ESA a fait valoir devant la Commission que, l’utilisateur ne pouvant percevoir le logiciel du jeu ni par la vue ni par l’ouïe au moment du téléchargement, </w:t>
      </w:r>
      <w:r w:rsidRPr="00266DE1">
        <w:rPr>
          <w:smallCaps/>
          <w:lang w:val="fr-CA"/>
        </w:rPr>
        <w:t xml:space="preserve">[traduction] </w:t>
      </w:r>
      <w:r w:rsidRPr="00266DE1">
        <w:rPr>
          <w:lang w:val="fr-CA"/>
        </w:rPr>
        <w:t xml:space="preserve">« [l]a transmission consiste simplement dans la distribution d’une </w:t>
      </w:r>
      <w:r w:rsidRPr="00266DE1">
        <w:rPr>
          <w:u w:val="single"/>
          <w:lang w:val="fr-CA"/>
        </w:rPr>
        <w:t>reproduction</w:t>
      </w:r>
      <w:r w:rsidRPr="00266DE1">
        <w:rPr>
          <w:lang w:val="fr-CA"/>
        </w:rPr>
        <w:t xml:space="preserve"> de l’œuvre qui est identique à celle offerte sur disque en magasin.  La transmission </w:t>
      </w:r>
      <w:proofErr w:type="gramStart"/>
      <w:r w:rsidRPr="00266DE1">
        <w:rPr>
          <w:lang w:val="fr-CA"/>
        </w:rPr>
        <w:t>n’[</w:t>
      </w:r>
      <w:proofErr w:type="gramEnd"/>
      <w:r w:rsidRPr="00266DE1">
        <w:rPr>
          <w:lang w:val="fr-CA"/>
        </w:rPr>
        <w:t>est] donc pas un</w:t>
      </w:r>
      <w:r w:rsidR="00FB62E1">
        <w:rPr>
          <w:lang w:val="fr-CA"/>
        </w:rPr>
        <w:t>e “communication au public” » (m.a</w:t>
      </w:r>
      <w:r w:rsidRPr="00266DE1">
        <w:rPr>
          <w:lang w:val="fr-CA"/>
        </w:rPr>
        <w:t>., par. 20 (souligné dans l’original)).</w:t>
      </w:r>
    </w:p>
    <w:p w:rsidR="00B77AA4" w:rsidRPr="00266DE1" w:rsidRDefault="00B77AA4" w:rsidP="00B77AA4">
      <w:pPr>
        <w:pStyle w:val="ParaNoNdepar-AltN"/>
        <w:rPr>
          <w:lang w:val="fr-CA"/>
        </w:rPr>
      </w:pPr>
      <w:r w:rsidRPr="00266DE1">
        <w:rPr>
          <w:lang w:val="fr-CA"/>
        </w:rPr>
        <w:lastRenderedPageBreak/>
        <w:t>La deuxième phase s’est conclue par deux décisions.  Dans la première rendue le 18 octobre 2007 (</w:t>
      </w:r>
      <w:r w:rsidR="002E28B0">
        <w:rPr>
          <w:lang w:val="fr-CA"/>
        </w:rPr>
        <w:t>en ligne</w:t>
      </w:r>
      <w:r w:rsidRPr="00266DE1">
        <w:rPr>
          <w:lang w:val="fr-CA"/>
        </w:rPr>
        <w:t>) (la « décision concernant le tarif 22.A »), la Commission rejette la thèse d’ESA et confirme sa conclusion antérieure assimilant le téléchargement à une « communication ».  Même si la décision concernant le tarif 22.A fixe en détail le tarif des redevances exigibles pour l’utilisation par les services de musique en ligne des œuvres qui figurent dans leurs catalogues et qui sont téléchargeables contre paiement, la Commission précise que les principes juridiques qu’elle y établit s’appliquent également aux autres utilisations de musique sur Internet.  Dans la seconde décision issue de la deuxième phase rendue le 24 octobre 2008 (</w:t>
      </w:r>
      <w:r w:rsidRPr="00266DE1">
        <w:rPr>
          <w:i/>
          <w:lang w:val="fr-CA"/>
        </w:rPr>
        <w:t>Tarif des redevances</w:t>
      </w:r>
      <w:r w:rsidR="002E28B0">
        <w:rPr>
          <w:i/>
          <w:lang w:val="fr-CA"/>
        </w:rPr>
        <w:t>, Exécution publique d’œuvres musicales (Tarifs 22.B à 22.G, Internet)</w:t>
      </w:r>
      <w:r w:rsidRPr="00266DE1">
        <w:rPr>
          <w:i/>
          <w:lang w:val="fr-CA"/>
        </w:rPr>
        <w:t xml:space="preserve"> </w:t>
      </w:r>
      <w:r w:rsidRPr="00266DE1">
        <w:rPr>
          <w:lang w:val="fr-CA"/>
        </w:rPr>
        <w:t>(en ligne)) (la « décision concernant le tarif 22.B</w:t>
      </w:r>
      <w:r w:rsidR="002F38C1">
        <w:rPr>
          <w:lang w:val="fr-CA"/>
        </w:rPr>
        <w:t>-</w:t>
      </w:r>
      <w:r w:rsidRPr="00266DE1">
        <w:rPr>
          <w:lang w:val="fr-CA"/>
        </w:rPr>
        <w:t xml:space="preserve">G »), la Commission établit le détail des redevances exigibles pour les autres utilisations d’œuvres musicales sur Internet, notamment l’utilisation sur des sites de jeux, celle qui est en cause dans le présent pourvoi (le tarif 22.G).  </w:t>
      </w:r>
    </w:p>
    <w:p w:rsidR="00B77AA4" w:rsidRPr="00266DE1" w:rsidRDefault="00B77AA4" w:rsidP="00B77AA4">
      <w:pPr>
        <w:pStyle w:val="ParaNoNdepar-AltN"/>
        <w:rPr>
          <w:lang w:val="fr-CA"/>
        </w:rPr>
      </w:pPr>
      <w:r w:rsidRPr="00266DE1">
        <w:rPr>
          <w:lang w:val="fr-CA"/>
        </w:rPr>
        <w:t xml:space="preserve">Des opposants ont saisi la CAF d’une demande de contrôle judiciaire fondée sur différents motifs, et la CAF s’est prononcée dans des décisions séparées sur les questions ainsi soulevées.  Dans l’affaire </w:t>
      </w:r>
      <w:r w:rsidR="00FB62E1">
        <w:rPr>
          <w:i/>
          <w:lang w:val="fr-CA"/>
        </w:rPr>
        <w:t xml:space="preserve">Shaw </w:t>
      </w:r>
      <w:proofErr w:type="spellStart"/>
      <w:r w:rsidR="00FB62E1">
        <w:rPr>
          <w:i/>
          <w:lang w:val="fr-CA"/>
        </w:rPr>
        <w:t>Cablesystems</w:t>
      </w:r>
      <w:proofErr w:type="spellEnd"/>
      <w:r w:rsidR="00FB62E1">
        <w:rPr>
          <w:i/>
          <w:lang w:val="fr-CA"/>
        </w:rPr>
        <w:t xml:space="preserve"> G.P.</w:t>
      </w:r>
      <w:r w:rsidRPr="00266DE1">
        <w:rPr>
          <w:i/>
          <w:lang w:val="fr-CA"/>
        </w:rPr>
        <w:t xml:space="preserve"> c. Société canadienne des auteurs, compositeurs et éditeurs de musique</w:t>
      </w:r>
      <w:r w:rsidRPr="00266DE1">
        <w:rPr>
          <w:lang w:val="fr-CA"/>
        </w:rPr>
        <w:t>, 2010 CAF 220</w:t>
      </w:r>
      <w:r w:rsidR="00EA4C66">
        <w:rPr>
          <w:lang w:val="fr-CA"/>
        </w:rPr>
        <w:t xml:space="preserve"> (</w:t>
      </w:r>
      <w:proofErr w:type="spellStart"/>
      <w:r w:rsidR="00EA4C66">
        <w:rPr>
          <w:lang w:val="fr-CA"/>
        </w:rPr>
        <w:t>CanLII</w:t>
      </w:r>
      <w:proofErr w:type="spellEnd"/>
      <w:r w:rsidR="003B1184">
        <w:rPr>
          <w:lang w:val="fr-CA"/>
        </w:rPr>
        <w:t>)</w:t>
      </w:r>
      <w:r w:rsidRPr="00266DE1">
        <w:rPr>
          <w:lang w:val="fr-CA"/>
        </w:rPr>
        <w:t xml:space="preserve"> (« </w:t>
      </w:r>
      <w:r w:rsidRPr="00266DE1">
        <w:rPr>
          <w:i/>
          <w:lang w:val="fr-CA"/>
        </w:rPr>
        <w:t>Bell Canada</w:t>
      </w:r>
      <w:r w:rsidRPr="00266DE1">
        <w:rPr>
          <w:lang w:val="fr-CA"/>
        </w:rPr>
        <w:t xml:space="preserve"> »), des services de musique en ligne ont demandé le contrôle de la conclusion tirée par la Commission dans la décision concernant le tarif 22.A, à savoir que le téléchargement d’un fichier de musique par l’utilisateur à partir du site Web du service de musique en ligne constitue une « communication au public ».  La </w:t>
      </w:r>
      <w:r w:rsidRPr="00266DE1">
        <w:rPr>
          <w:lang w:val="fr-CA"/>
        </w:rPr>
        <w:lastRenderedPageBreak/>
        <w:t>CAF a conclu que la Commission avait raisonnablement interprété l’al. 3(1)</w:t>
      </w:r>
      <w:r w:rsidRPr="00266DE1">
        <w:rPr>
          <w:i/>
          <w:lang w:val="fr-CA"/>
        </w:rPr>
        <w:t>f</w:t>
      </w:r>
      <w:r w:rsidRPr="00266DE1">
        <w:rPr>
          <w:lang w:val="fr-CA"/>
        </w:rPr>
        <w:t xml:space="preserve">) de la Loi, elle a estimé que l’arrêt </w:t>
      </w:r>
      <w:r w:rsidRPr="00266DE1">
        <w:rPr>
          <w:i/>
          <w:lang w:val="fr-CA"/>
        </w:rPr>
        <w:t>SOCAN c. ACFI</w:t>
      </w:r>
      <w:r w:rsidRPr="00266DE1">
        <w:rPr>
          <w:lang w:val="fr-CA"/>
        </w:rPr>
        <w:t xml:space="preserve"> faisait déjà le tour de la question de savoir ce qu’il faut entendre par « communication » et elle a donc confirmé qu’un téléchargement constitue une communication (par. 5).</w:t>
      </w:r>
    </w:p>
    <w:p w:rsidR="00B77AA4" w:rsidRPr="00266DE1" w:rsidRDefault="00B77AA4" w:rsidP="00B77AA4">
      <w:pPr>
        <w:pStyle w:val="ParaNoNdepar-AltN"/>
        <w:rPr>
          <w:lang w:val="fr-CA"/>
        </w:rPr>
      </w:pPr>
      <w:r w:rsidRPr="00266DE1">
        <w:rPr>
          <w:lang w:val="fr-CA"/>
        </w:rPr>
        <w:t>Rappelons qu’ESA a été déboutée à l’issue du contrôle judiciaire de la décision concernant le tarif 22.B</w:t>
      </w:r>
      <w:r w:rsidR="002F38C1">
        <w:rPr>
          <w:lang w:val="fr-CA"/>
        </w:rPr>
        <w:t>-</w:t>
      </w:r>
      <w:r w:rsidRPr="00266DE1">
        <w:rPr>
          <w:lang w:val="fr-CA"/>
        </w:rPr>
        <w:t xml:space="preserve">G.  Quant à savoir si le téléchargement d’un jeu vidéo constitue une communication au public de l’œuvre musicale qui y est contenue, la CAF renvoie à ses motifs dans </w:t>
      </w:r>
      <w:r w:rsidRPr="00266DE1">
        <w:rPr>
          <w:i/>
          <w:lang w:val="fr-CA"/>
        </w:rPr>
        <w:t>Bell Canada</w:t>
      </w:r>
      <w:r w:rsidRPr="00266DE1">
        <w:rPr>
          <w:lang w:val="fr-CA"/>
        </w:rPr>
        <w:t xml:space="preserve"> selon lesquels le téléchargement d’un fichier renfermant une œuvre musicale constitue une communication au public par télécommunication</w:t>
      </w:r>
      <w:r w:rsidRPr="00266DE1">
        <w:rPr>
          <w:i/>
          <w:lang w:val="fr-CA"/>
        </w:rPr>
        <w:t xml:space="preserve"> </w:t>
      </w:r>
      <w:r w:rsidRPr="00266DE1">
        <w:rPr>
          <w:lang w:val="fr-CA"/>
        </w:rPr>
        <w:t xml:space="preserve">(2010 CAF 221, </w:t>
      </w:r>
      <w:r w:rsidR="002E28B0">
        <w:rPr>
          <w:lang w:val="fr-CA"/>
        </w:rPr>
        <w:t xml:space="preserve">406 N.R. 288, </w:t>
      </w:r>
      <w:r w:rsidRPr="00266DE1">
        <w:rPr>
          <w:lang w:val="fr-CA"/>
        </w:rPr>
        <w:t xml:space="preserve">par. 13).  </w:t>
      </w:r>
    </w:p>
    <w:p w:rsidR="00B77AA4" w:rsidRPr="00266DE1" w:rsidRDefault="00B77AA4" w:rsidP="003B1184">
      <w:pPr>
        <w:pStyle w:val="TitleTitre-AltT"/>
        <w:numPr>
          <w:ilvl w:val="0"/>
          <w:numId w:val="21"/>
        </w:numPr>
        <w:tabs>
          <w:tab w:val="clear" w:pos="360"/>
          <w:tab w:val="left" w:pos="540"/>
        </w:tabs>
        <w:ind w:left="0" w:firstLine="0"/>
        <w:rPr>
          <w:u w:val="single"/>
          <w:lang w:val="fr-CA"/>
        </w:rPr>
      </w:pPr>
      <w:r w:rsidRPr="00266DE1">
        <w:rPr>
          <w:u w:val="single"/>
          <w:lang w:val="fr-CA"/>
        </w:rPr>
        <w:t>Question en litige</w:t>
      </w:r>
    </w:p>
    <w:p w:rsidR="00B77AA4" w:rsidRPr="00266DE1" w:rsidRDefault="00B77AA4" w:rsidP="00B77AA4">
      <w:pPr>
        <w:pStyle w:val="ParaNoNdepar-AltN"/>
        <w:rPr>
          <w:lang w:val="fr-CA"/>
        </w:rPr>
      </w:pPr>
      <w:r w:rsidRPr="00266DE1">
        <w:rPr>
          <w:lang w:val="fr-CA"/>
        </w:rPr>
        <w:t>La question que soulève le présent pourvoi est celle de savoir si la transmission d’un jeu vidéo par téléchargement Internet peut être assimilée à une « communication » au public pour l’application de l’al. 3(1)</w:t>
      </w:r>
      <w:r w:rsidRPr="00266DE1">
        <w:rPr>
          <w:i/>
          <w:lang w:val="fr-CA"/>
        </w:rPr>
        <w:t>f</w:t>
      </w:r>
      <w:r w:rsidRPr="00266DE1">
        <w:rPr>
          <w:lang w:val="fr-CA"/>
        </w:rPr>
        <w:t xml:space="preserve">) de la Loi.  Dans l’affirmative, la SOCAN peut percevoir des redevances pour la communication de toute </w:t>
      </w:r>
      <w:r w:rsidR="00C835A5">
        <w:rPr>
          <w:rFonts w:cs="Times New Roman"/>
          <w:lang w:val="fr-CA"/>
        </w:rPr>
        <w:t>œ</w:t>
      </w:r>
      <w:r w:rsidRPr="00266DE1">
        <w:rPr>
          <w:lang w:val="fr-CA"/>
        </w:rPr>
        <w:t xml:space="preserve">uvre musicale comprise dans le jeu. </w:t>
      </w:r>
    </w:p>
    <w:p w:rsidR="00B77AA4" w:rsidRPr="00266DE1" w:rsidRDefault="00B77AA4" w:rsidP="00C83EF7">
      <w:pPr>
        <w:pStyle w:val="TitleTitre-AltT"/>
        <w:numPr>
          <w:ilvl w:val="0"/>
          <w:numId w:val="21"/>
        </w:numPr>
        <w:tabs>
          <w:tab w:val="clear" w:pos="360"/>
          <w:tab w:val="left" w:pos="540"/>
        </w:tabs>
        <w:ind w:left="0" w:firstLine="0"/>
        <w:rPr>
          <w:u w:val="single"/>
          <w:lang w:val="fr-CA"/>
        </w:rPr>
      </w:pPr>
      <w:r w:rsidRPr="00266DE1">
        <w:rPr>
          <w:u w:val="single"/>
          <w:lang w:val="fr-CA"/>
        </w:rPr>
        <w:lastRenderedPageBreak/>
        <w:t>Analyse</w:t>
      </w:r>
    </w:p>
    <w:p w:rsidR="00B77AA4" w:rsidRPr="00266DE1" w:rsidRDefault="00B77AA4" w:rsidP="00C83EF7">
      <w:pPr>
        <w:pStyle w:val="TitleTitre-AltT"/>
        <w:tabs>
          <w:tab w:val="clear" w:pos="360"/>
          <w:tab w:val="left" w:pos="540"/>
        </w:tabs>
        <w:ind w:left="0" w:firstLine="0"/>
        <w:rPr>
          <w:u w:val="single"/>
          <w:lang w:val="fr-CA"/>
        </w:rPr>
      </w:pPr>
      <w:r w:rsidRPr="00266DE1">
        <w:rPr>
          <w:lang w:val="fr-CA"/>
        </w:rPr>
        <w:t>A.</w:t>
      </w:r>
      <w:r w:rsidRPr="00266DE1">
        <w:rPr>
          <w:lang w:val="fr-CA"/>
        </w:rPr>
        <w:tab/>
      </w:r>
      <w:r w:rsidRPr="00266DE1">
        <w:rPr>
          <w:i/>
          <w:lang w:val="fr-CA"/>
        </w:rPr>
        <w:t>Aperçu</w:t>
      </w:r>
    </w:p>
    <w:p w:rsidR="00B77AA4" w:rsidRPr="00266DE1" w:rsidRDefault="00B77AA4" w:rsidP="00B77AA4">
      <w:pPr>
        <w:pStyle w:val="ParaNoNdepar-AltN"/>
        <w:rPr>
          <w:lang w:val="fr-CA"/>
        </w:rPr>
      </w:pPr>
      <w:r w:rsidRPr="00266DE1">
        <w:rPr>
          <w:lang w:val="fr-CA"/>
        </w:rPr>
        <w:t>ESA soutient que, selon une interprétation de la disposition en entier qui tient compte de l’ensemble de la Loi et de l’historique législatif, l’al. 3(1)</w:t>
      </w:r>
      <w:r w:rsidRPr="00266DE1">
        <w:rPr>
          <w:i/>
          <w:lang w:val="fr-CA"/>
        </w:rPr>
        <w:t>f</w:t>
      </w:r>
      <w:r w:rsidRPr="00266DE1">
        <w:rPr>
          <w:lang w:val="fr-CA"/>
        </w:rPr>
        <w:t xml:space="preserve">) </w:t>
      </w:r>
      <w:r w:rsidRPr="00266DE1">
        <w:rPr>
          <w:smallCaps/>
          <w:lang w:val="fr-CA"/>
        </w:rPr>
        <w:t xml:space="preserve">[traduction] </w:t>
      </w:r>
      <w:r w:rsidRPr="00266DE1">
        <w:rPr>
          <w:lang w:val="fr-CA"/>
        </w:rPr>
        <w:t xml:space="preserve">« crée un droit exclusif d’exécution en public (ou de représentation dans le cas des œuvres qui ne sont pas exécutées en public) par voie de télécommunication ».  Elle affirme que « communiquer » doit s’entendre de </w:t>
      </w:r>
      <w:r w:rsidRPr="00266DE1">
        <w:rPr>
          <w:smallCaps/>
          <w:lang w:val="fr-CA"/>
        </w:rPr>
        <w:t>« </w:t>
      </w:r>
      <w:r w:rsidRPr="00266DE1">
        <w:rPr>
          <w:lang w:val="fr-CA"/>
        </w:rPr>
        <w:t xml:space="preserve">faire en sorte qu’une information sous une forme perceptible par l’être humain parvienne à une autre personne pour écoute ou visualisation </w:t>
      </w:r>
      <w:r w:rsidRPr="00266DE1">
        <w:rPr>
          <w:u w:val="single"/>
          <w:lang w:val="fr-CA"/>
        </w:rPr>
        <w:t>immédiates</w:t>
      </w:r>
      <w:r w:rsidRPr="00266DE1">
        <w:rPr>
          <w:lang w:val="fr-CA"/>
        </w:rPr>
        <w:t> » (</w:t>
      </w:r>
      <w:proofErr w:type="gramStart"/>
      <w:r w:rsidR="00C83EF7">
        <w:rPr>
          <w:lang w:val="fr-CA"/>
        </w:rPr>
        <w:t>m.a.,</w:t>
      </w:r>
      <w:proofErr w:type="gramEnd"/>
      <w:r w:rsidR="00C83EF7">
        <w:rPr>
          <w:lang w:val="fr-CA"/>
        </w:rPr>
        <w:t xml:space="preserve"> </w:t>
      </w:r>
      <w:r w:rsidRPr="00266DE1">
        <w:rPr>
          <w:lang w:val="fr-CA"/>
        </w:rPr>
        <w:t xml:space="preserve">par. 33 (je souligne)).  Le législateur n’a jamais voulu que le droit de communication s’applique à la mise à disposition d’une copie permanente d’une œuvre protégée par le droit d’auteur, une situation où le </w:t>
      </w:r>
      <w:r w:rsidRPr="00266DE1">
        <w:rPr>
          <w:i/>
          <w:lang w:val="fr-CA"/>
        </w:rPr>
        <w:t>droit de reproduction</w:t>
      </w:r>
      <w:r w:rsidRPr="00266DE1">
        <w:rPr>
          <w:lang w:val="fr-CA"/>
        </w:rPr>
        <w:t xml:space="preserve"> s’applique déjà et où le titulaire du droit d’auteur est déjà rémunéré.  Étant donné que l’utilisateur ne peut percevoir le logiciel du jeu </w:t>
      </w:r>
      <w:r w:rsidRPr="00266DE1">
        <w:rPr>
          <w:i/>
          <w:lang w:val="fr-CA"/>
        </w:rPr>
        <w:t xml:space="preserve">ni par la vue, ni par l’ouïe </w:t>
      </w:r>
      <w:r w:rsidRPr="00266DE1">
        <w:rPr>
          <w:lang w:val="fr-CA"/>
        </w:rPr>
        <w:t xml:space="preserve">pendant le téléchargement, la transmission par le fournisseur en ligne à l’utilisateur ne constitue pas une communication au public.  ESA prétend de plus que la Loi emploie à la fois les termes « communiquer » et « transmettre » et que les deux ne peuvent avoir la même signification.  Selon elle, le téléchargement d’un jeu par un utilisateur constitue une transmission et non une communication.  En outre, ESA prend appui sur la jurisprudence américaine et fait valoir certaines « conséquences inattendues » des décisions des tribunaux inférieurs.  </w:t>
      </w:r>
    </w:p>
    <w:p w:rsidR="00B77AA4" w:rsidRPr="00266DE1" w:rsidRDefault="00B77AA4" w:rsidP="00B77AA4">
      <w:pPr>
        <w:pStyle w:val="ParaNoNdepar-AltN"/>
        <w:rPr>
          <w:lang w:val="fr-CA"/>
        </w:rPr>
      </w:pPr>
      <w:r w:rsidRPr="00266DE1">
        <w:rPr>
          <w:lang w:val="fr-CA"/>
        </w:rPr>
        <w:lastRenderedPageBreak/>
        <w:t>En l’espèce, ESA ne présente pas d’arguments quant à savoir si, dans l’éventualité où la transmission serait considérée comme une « communication » pour l’application de l’al. 3(1)</w:t>
      </w:r>
      <w:r w:rsidRPr="00266DE1">
        <w:rPr>
          <w:i/>
          <w:lang w:val="fr-CA"/>
        </w:rPr>
        <w:t>f</w:t>
      </w:r>
      <w:r w:rsidRPr="00266DE1">
        <w:rPr>
          <w:lang w:val="fr-CA"/>
        </w:rPr>
        <w:t>), cette transmission constituerait une communication « </w:t>
      </w:r>
      <w:r w:rsidRPr="00266DE1">
        <w:rPr>
          <w:i/>
          <w:lang w:val="fr-CA"/>
        </w:rPr>
        <w:t>au public</w:t>
      </w:r>
      <w:r w:rsidRPr="00266DE1">
        <w:rPr>
          <w:lang w:val="fr-CA"/>
        </w:rPr>
        <w:t xml:space="preserve"> », une question examinée dans le pourvoi connexe </w:t>
      </w:r>
      <w:r w:rsidRPr="00266DE1">
        <w:rPr>
          <w:i/>
          <w:lang w:val="fr-CA"/>
        </w:rPr>
        <w:t>Rogers Communication</w:t>
      </w:r>
      <w:r w:rsidR="00C83EF7">
        <w:rPr>
          <w:i/>
          <w:lang w:val="fr-CA"/>
        </w:rPr>
        <w:t>s</w:t>
      </w:r>
      <w:r w:rsidRPr="00266DE1">
        <w:rPr>
          <w:i/>
          <w:lang w:val="fr-CA"/>
        </w:rPr>
        <w:t xml:space="preserve"> Inc. c. Société canadienne des auteurs, compositeurs et éditeurs de musique</w:t>
      </w:r>
      <w:r w:rsidRPr="00266DE1">
        <w:rPr>
          <w:lang w:val="fr-CA"/>
        </w:rPr>
        <w:t>, 2012 CSC 35</w:t>
      </w:r>
      <w:r w:rsidR="00C83EF7">
        <w:rPr>
          <w:lang w:val="fr-CA"/>
        </w:rPr>
        <w:t xml:space="preserve">, [2012] </w:t>
      </w:r>
      <w:r w:rsidR="0050739F">
        <w:rPr>
          <w:lang w:val="fr-CA"/>
        </w:rPr>
        <w:t>2</w:t>
      </w:r>
      <w:r w:rsidR="00C83EF7">
        <w:rPr>
          <w:lang w:val="fr-CA"/>
        </w:rPr>
        <w:t xml:space="preserve"> R.C.S. </w:t>
      </w:r>
      <w:r w:rsidR="0050739F">
        <w:rPr>
          <w:lang w:val="fr-CA"/>
        </w:rPr>
        <w:t>283</w:t>
      </w:r>
      <w:r w:rsidRPr="00266DE1">
        <w:rPr>
          <w:lang w:val="fr-CA"/>
        </w:rPr>
        <w:t>.</w:t>
      </w:r>
    </w:p>
    <w:p w:rsidR="00B77AA4" w:rsidRPr="00266DE1" w:rsidRDefault="00B77AA4" w:rsidP="00B77AA4">
      <w:pPr>
        <w:pStyle w:val="ParaNoNdepar-AltN"/>
        <w:rPr>
          <w:lang w:val="fr-CA"/>
        </w:rPr>
      </w:pPr>
      <w:r w:rsidRPr="00266DE1">
        <w:rPr>
          <w:lang w:val="fr-CA"/>
        </w:rPr>
        <w:t xml:space="preserve">Selon la SOCAN, les décisions de la Commission et de la Cour d’appel fédérale sont correctes.  À son avis, « communiquer » une information s’entend seulement </w:t>
      </w:r>
      <w:r w:rsidR="00C83EF7">
        <w:rPr>
          <w:lang w:val="fr-CA"/>
        </w:rPr>
        <w:t>[</w:t>
      </w:r>
      <w:r w:rsidR="00C83EF7" w:rsidRPr="00C83EF7">
        <w:rPr>
          <w:smallCaps/>
          <w:lang w:val="fr-CA"/>
        </w:rPr>
        <w:t>traduction</w:t>
      </w:r>
      <w:r w:rsidR="00C83EF7">
        <w:rPr>
          <w:lang w:val="fr-CA"/>
        </w:rPr>
        <w:t xml:space="preserve">] </w:t>
      </w:r>
      <w:r w:rsidRPr="00266DE1">
        <w:rPr>
          <w:lang w:val="fr-CA"/>
        </w:rPr>
        <w:t xml:space="preserve">« de la transmettre, de la faire savoir, de la faire connaître, d’en </w:t>
      </w:r>
      <w:r w:rsidR="00C83EF7">
        <w:rPr>
          <w:lang w:val="fr-CA"/>
        </w:rPr>
        <w:t>faire part » (</w:t>
      </w:r>
      <w:proofErr w:type="gramStart"/>
      <w:r w:rsidR="00C83EF7">
        <w:rPr>
          <w:lang w:val="fr-CA"/>
        </w:rPr>
        <w:t>m</w:t>
      </w:r>
      <w:r w:rsidRPr="00266DE1">
        <w:rPr>
          <w:lang w:val="fr-CA"/>
        </w:rPr>
        <w:t>.</w:t>
      </w:r>
      <w:r w:rsidR="00C83EF7">
        <w:rPr>
          <w:lang w:val="fr-CA"/>
        </w:rPr>
        <w:t>i</w:t>
      </w:r>
      <w:r w:rsidRPr="00266DE1">
        <w:rPr>
          <w:lang w:val="fr-CA"/>
        </w:rPr>
        <w:t>.,</w:t>
      </w:r>
      <w:proofErr w:type="gramEnd"/>
      <w:r w:rsidRPr="00266DE1">
        <w:rPr>
          <w:lang w:val="fr-CA"/>
        </w:rPr>
        <w:t xml:space="preserve"> par. 32 (soulignement supprimé)), et faire droit aux prétentions d’ESA restreindrait artificiellement le sens ordinaire du mot.  La SOCAN ajoute qu’ESA méconnaît le principe fondamental du droit d’auteur qui veut que les droits conférés au par. 3(1) pour la reproduction, la représentation ou l’exécut</w:t>
      </w:r>
      <w:r w:rsidR="00C83EF7">
        <w:rPr>
          <w:lang w:val="fr-CA"/>
        </w:rPr>
        <w:t xml:space="preserve">ion et la communication d’une </w:t>
      </w:r>
      <w:r w:rsidR="00C83EF7">
        <w:rPr>
          <w:rFonts w:cs="Times New Roman"/>
          <w:lang w:val="fr-CA"/>
        </w:rPr>
        <w:t>œ</w:t>
      </w:r>
      <w:r w:rsidRPr="00266DE1">
        <w:rPr>
          <w:lang w:val="fr-CA"/>
        </w:rPr>
        <w:t>uvr</w:t>
      </w:r>
      <w:r w:rsidR="00C83EF7">
        <w:rPr>
          <w:lang w:val="fr-CA"/>
        </w:rPr>
        <w:t>e soient des droits distincts (</w:t>
      </w:r>
      <w:proofErr w:type="gramStart"/>
      <w:r w:rsidR="00C83EF7">
        <w:rPr>
          <w:lang w:val="fr-CA"/>
        </w:rPr>
        <w:t>m.i</w:t>
      </w:r>
      <w:r w:rsidRPr="00266DE1">
        <w:rPr>
          <w:lang w:val="fr-CA"/>
        </w:rPr>
        <w:t>.,</w:t>
      </w:r>
      <w:proofErr w:type="gramEnd"/>
      <w:r w:rsidRPr="00266DE1">
        <w:rPr>
          <w:lang w:val="fr-CA"/>
        </w:rPr>
        <w:t xml:space="preserve"> par. 9).</w:t>
      </w:r>
    </w:p>
    <w:p w:rsidR="00B77AA4" w:rsidRPr="00266DE1" w:rsidRDefault="00B77AA4" w:rsidP="00C83EF7">
      <w:pPr>
        <w:pStyle w:val="TitleTitre-AltT"/>
        <w:tabs>
          <w:tab w:val="clear" w:pos="360"/>
          <w:tab w:val="left" w:pos="540"/>
        </w:tabs>
        <w:ind w:left="0" w:firstLine="0"/>
        <w:rPr>
          <w:lang w:val="fr-CA"/>
        </w:rPr>
      </w:pPr>
      <w:r w:rsidRPr="00266DE1">
        <w:rPr>
          <w:lang w:val="fr-CA"/>
        </w:rPr>
        <w:t>B.</w:t>
      </w:r>
      <w:r w:rsidRPr="00266DE1">
        <w:rPr>
          <w:lang w:val="fr-CA"/>
        </w:rPr>
        <w:tab/>
      </w:r>
      <w:r w:rsidRPr="00266DE1">
        <w:rPr>
          <w:i/>
          <w:lang w:val="fr-CA"/>
        </w:rPr>
        <w:t>Norme de contrôle</w:t>
      </w:r>
    </w:p>
    <w:p w:rsidR="00B77AA4" w:rsidRPr="00266DE1" w:rsidRDefault="00B77AA4" w:rsidP="00B77AA4">
      <w:pPr>
        <w:pStyle w:val="ParaNoNdepar-AltN"/>
        <w:rPr>
          <w:lang w:val="fr-CA"/>
        </w:rPr>
      </w:pPr>
      <w:r w:rsidRPr="00266DE1">
        <w:rPr>
          <w:lang w:val="fr-CA"/>
        </w:rPr>
        <w:t>Pour les raisons que je donne aux par. 10</w:t>
      </w:r>
      <w:r w:rsidR="00A86D91">
        <w:rPr>
          <w:lang w:val="fr-CA"/>
        </w:rPr>
        <w:t>-1</w:t>
      </w:r>
      <w:r w:rsidRPr="00266DE1">
        <w:rPr>
          <w:lang w:val="fr-CA"/>
        </w:rPr>
        <w:t xml:space="preserve">6 dans </w:t>
      </w:r>
      <w:r w:rsidRPr="00266DE1">
        <w:rPr>
          <w:i/>
          <w:lang w:val="fr-CA"/>
        </w:rPr>
        <w:t>Rogers</w:t>
      </w:r>
      <w:r w:rsidRPr="00266DE1">
        <w:rPr>
          <w:lang w:val="fr-CA"/>
        </w:rPr>
        <w:t xml:space="preserve">, la norme de contrôle applicable est celle de la décision correcte.  </w:t>
      </w:r>
    </w:p>
    <w:p w:rsidR="00B77AA4" w:rsidRPr="00266DE1" w:rsidRDefault="00B77AA4" w:rsidP="00C83EF7">
      <w:pPr>
        <w:pStyle w:val="TitleTitre-AltT"/>
        <w:tabs>
          <w:tab w:val="clear" w:pos="360"/>
          <w:tab w:val="left" w:pos="540"/>
        </w:tabs>
        <w:ind w:left="540" w:hanging="540"/>
        <w:rPr>
          <w:lang w:val="fr-CA"/>
        </w:rPr>
      </w:pPr>
      <w:r w:rsidRPr="00266DE1">
        <w:rPr>
          <w:lang w:val="fr-CA"/>
        </w:rPr>
        <w:lastRenderedPageBreak/>
        <w:t>C.</w:t>
      </w:r>
      <w:r w:rsidRPr="00266DE1">
        <w:rPr>
          <w:lang w:val="fr-CA"/>
        </w:rPr>
        <w:tab/>
      </w:r>
      <w:r w:rsidRPr="00266DE1">
        <w:rPr>
          <w:i/>
          <w:lang w:val="fr-CA"/>
        </w:rPr>
        <w:t>Transmettre une œuvre musicale par téléchargement Internet équivaut</w:t>
      </w:r>
      <w:r w:rsidR="002F38C1">
        <w:rPr>
          <w:i/>
          <w:lang w:val="fr-CA"/>
        </w:rPr>
        <w:t>-</w:t>
      </w:r>
      <w:r w:rsidRPr="00266DE1">
        <w:rPr>
          <w:i/>
          <w:lang w:val="fr-CA"/>
        </w:rPr>
        <w:t>il à la « communiquer »?</w:t>
      </w:r>
    </w:p>
    <w:p w:rsidR="00B77AA4" w:rsidRPr="00266DE1" w:rsidRDefault="00B77AA4" w:rsidP="00C83EF7">
      <w:pPr>
        <w:pStyle w:val="TitleTitre-AltT"/>
        <w:tabs>
          <w:tab w:val="clear" w:pos="360"/>
          <w:tab w:val="left" w:pos="540"/>
        </w:tabs>
        <w:ind w:left="1170" w:hanging="1440"/>
        <w:rPr>
          <w:lang w:val="fr-CA"/>
        </w:rPr>
      </w:pPr>
      <w:r w:rsidRPr="00266DE1">
        <w:rPr>
          <w:lang w:val="fr-CA"/>
        </w:rPr>
        <w:tab/>
        <w:t>(1)</w:t>
      </w:r>
      <w:r w:rsidRPr="00266DE1">
        <w:rPr>
          <w:lang w:val="fr-CA"/>
        </w:rPr>
        <w:tab/>
      </w:r>
      <w:r w:rsidRPr="00266DE1">
        <w:rPr>
          <w:u w:val="single"/>
          <w:lang w:val="fr-CA"/>
        </w:rPr>
        <w:t>L’alinéa 3(1)</w:t>
      </w:r>
      <w:r w:rsidRPr="00266DE1">
        <w:rPr>
          <w:i/>
          <w:u w:val="single"/>
          <w:lang w:val="fr-CA"/>
        </w:rPr>
        <w:t>f</w:t>
      </w:r>
      <w:r w:rsidR="00C83EF7">
        <w:rPr>
          <w:u w:val="single"/>
          <w:lang w:val="fr-CA"/>
        </w:rPr>
        <w:t>) et l’art.</w:t>
      </w:r>
      <w:r w:rsidRPr="00266DE1">
        <w:rPr>
          <w:u w:val="single"/>
          <w:lang w:val="fr-CA"/>
        </w:rPr>
        <w:t> 2</w:t>
      </w:r>
    </w:p>
    <w:p w:rsidR="00B77AA4" w:rsidRPr="00266DE1" w:rsidRDefault="00B77AA4" w:rsidP="00B77AA4">
      <w:pPr>
        <w:pStyle w:val="ParaNoNdepar-AltN"/>
        <w:rPr>
          <w:lang w:val="fr-CA"/>
        </w:rPr>
      </w:pPr>
      <w:r w:rsidRPr="00266DE1">
        <w:rPr>
          <w:lang w:val="fr-CA"/>
        </w:rPr>
        <w:t xml:space="preserve">La Cour doit en l’espèce définir le droit de « communiquer </w:t>
      </w:r>
      <w:r w:rsidR="00C83EF7">
        <w:rPr>
          <w:lang w:val="fr-CA"/>
        </w:rPr>
        <w:t>[</w:t>
      </w:r>
      <w:r w:rsidRPr="00266DE1">
        <w:rPr>
          <w:lang w:val="fr-CA"/>
        </w:rPr>
        <w:t>. . .</w:t>
      </w:r>
      <w:r w:rsidR="00C83EF7">
        <w:rPr>
          <w:lang w:val="fr-CA"/>
        </w:rPr>
        <w:t>]</w:t>
      </w:r>
      <w:r w:rsidRPr="00266DE1">
        <w:rPr>
          <w:lang w:val="fr-CA"/>
        </w:rPr>
        <w:t xml:space="preserve"> par télécommunication » prévu dans la Loi.  Pour ESA, il s’agirait de</w:t>
      </w:r>
      <w:r w:rsidRPr="00266DE1">
        <w:rPr>
          <w:smallCaps/>
          <w:lang w:val="fr-CA"/>
        </w:rPr>
        <w:t xml:space="preserve"> [traduction] « </w:t>
      </w:r>
      <w:r w:rsidRPr="00266DE1">
        <w:rPr>
          <w:lang w:val="fr-CA"/>
        </w:rPr>
        <w:t xml:space="preserve">faire en sorte qu’une information sous une forme perceptible par l’être humain parvienne à une autre personne </w:t>
      </w:r>
      <w:r w:rsidRPr="00266DE1">
        <w:rPr>
          <w:u w:val="single"/>
          <w:lang w:val="fr-CA"/>
        </w:rPr>
        <w:t>pour écoute ou visualisation immédiates</w:t>
      </w:r>
      <w:r w:rsidR="00C83EF7">
        <w:rPr>
          <w:lang w:val="fr-CA"/>
        </w:rPr>
        <w:t> » (</w:t>
      </w:r>
      <w:proofErr w:type="gramStart"/>
      <w:r w:rsidR="00C83EF7">
        <w:rPr>
          <w:lang w:val="fr-CA"/>
        </w:rPr>
        <w:t>m.a</w:t>
      </w:r>
      <w:r w:rsidRPr="00266DE1">
        <w:rPr>
          <w:lang w:val="fr-CA"/>
        </w:rPr>
        <w:t>.,</w:t>
      </w:r>
      <w:proofErr w:type="gramEnd"/>
      <w:r w:rsidRPr="00266DE1">
        <w:rPr>
          <w:lang w:val="fr-CA"/>
        </w:rPr>
        <w:t xml:space="preserve"> par. 33 (je souligne)). </w:t>
      </w:r>
    </w:p>
    <w:p w:rsidR="00B77AA4" w:rsidRPr="00266DE1" w:rsidRDefault="00B77AA4" w:rsidP="00B77AA4">
      <w:pPr>
        <w:pStyle w:val="ParaNoNdepar-AltN"/>
        <w:rPr>
          <w:lang w:val="fr-CA"/>
        </w:rPr>
      </w:pPr>
      <w:r w:rsidRPr="00266DE1">
        <w:rPr>
          <w:lang w:val="fr-CA"/>
        </w:rPr>
        <w:t>Le droit exclusif de « communiquer au public, par télécommunication » est conféré au titulaire du droit d’auteur à l’al. 3(1)</w:t>
      </w:r>
      <w:r w:rsidRPr="00266DE1">
        <w:rPr>
          <w:i/>
          <w:lang w:val="fr-CA"/>
        </w:rPr>
        <w:t>f</w:t>
      </w:r>
      <w:r w:rsidR="00A451C4">
        <w:rPr>
          <w:lang w:val="fr-CA"/>
        </w:rPr>
        <w:t>) de la Loi :</w:t>
      </w:r>
      <w:r w:rsidRPr="00266DE1">
        <w:rPr>
          <w:lang w:val="fr-CA"/>
        </w:rPr>
        <w:t xml:space="preserve"> </w:t>
      </w:r>
    </w:p>
    <w:p w:rsidR="00B77AA4" w:rsidRPr="00266DE1" w:rsidRDefault="00B77AA4" w:rsidP="00C83EF7">
      <w:pPr>
        <w:pStyle w:val="Citation-AltC"/>
        <w:tabs>
          <w:tab w:val="left" w:pos="1620"/>
        </w:tabs>
        <w:spacing w:after="240"/>
        <w:ind w:hanging="1166"/>
        <w:contextualSpacing w:val="0"/>
        <w:rPr>
          <w:szCs w:val="24"/>
          <w:lang w:val="fr-CA"/>
        </w:rPr>
      </w:pPr>
      <w:r w:rsidRPr="00266DE1">
        <w:rPr>
          <w:b/>
          <w:szCs w:val="24"/>
          <w:lang w:val="fr-CA"/>
        </w:rPr>
        <w:tab/>
      </w:r>
      <w:r w:rsidR="00C83EF7">
        <w:rPr>
          <w:b/>
          <w:szCs w:val="24"/>
          <w:lang w:val="fr-CA"/>
        </w:rPr>
        <w:tab/>
      </w:r>
      <w:r w:rsidRPr="00266DE1">
        <w:rPr>
          <w:b/>
          <w:szCs w:val="24"/>
          <w:lang w:val="fr-CA"/>
        </w:rPr>
        <w:t>3.</w:t>
      </w:r>
      <w:r w:rsidRPr="00266DE1">
        <w:rPr>
          <w:szCs w:val="24"/>
          <w:lang w:val="fr-CA"/>
        </w:rPr>
        <w:t> (1)  </w:t>
      </w:r>
      <w:r w:rsidRPr="00266DE1">
        <w:rPr>
          <w:szCs w:val="24"/>
          <w:u w:val="single"/>
          <w:lang w:val="fr-CA"/>
        </w:rPr>
        <w:t>Le droit d’auteur sur l’œuvre comporte le droit exclusif</w:t>
      </w:r>
      <w:r w:rsidRPr="00A451C4">
        <w:rPr>
          <w:szCs w:val="24"/>
          <w:u w:val="single"/>
          <w:lang w:val="fr-CA"/>
        </w:rPr>
        <w:t xml:space="preserve"> de</w:t>
      </w:r>
      <w:r w:rsidRPr="00266DE1">
        <w:rPr>
          <w:szCs w:val="24"/>
          <w:lang w:val="fr-CA"/>
        </w:rPr>
        <w:t xml:space="preserve"> produire ou reproduire la totalité ou une partie importante de l’œuvre, sous une forme matérielle quelconque, d’en exécuter ou d’en représenter la totalité ou une partie importante en public et, si l’œuvre n’est pas publiée, d’en publier la totalité ou une partie importante; </w:t>
      </w:r>
      <w:r w:rsidRPr="00266DE1">
        <w:rPr>
          <w:szCs w:val="24"/>
          <w:u w:val="single"/>
          <w:lang w:val="fr-CA"/>
        </w:rPr>
        <w:t>ce droit comporte, en outre, le droit exclusif</w:t>
      </w:r>
      <w:r w:rsidRPr="00266DE1">
        <w:rPr>
          <w:szCs w:val="24"/>
          <w:lang w:val="fr-CA"/>
        </w:rPr>
        <w:t> :</w:t>
      </w:r>
    </w:p>
    <w:p w:rsidR="00B77AA4" w:rsidRPr="00266DE1" w:rsidRDefault="00B77AA4" w:rsidP="00C83EF7">
      <w:pPr>
        <w:pStyle w:val="Citation-AltC"/>
        <w:spacing w:after="240"/>
        <w:ind w:left="0"/>
        <w:contextualSpacing w:val="0"/>
        <w:jc w:val="center"/>
        <w:rPr>
          <w:szCs w:val="24"/>
          <w:lang w:val="fr-CA"/>
        </w:rPr>
      </w:pPr>
      <w:r w:rsidRPr="00266DE1">
        <w:rPr>
          <w:szCs w:val="24"/>
          <w:lang w:val="fr-CA"/>
        </w:rPr>
        <w:t>. . .</w:t>
      </w:r>
    </w:p>
    <w:p w:rsidR="00B77AA4" w:rsidRPr="00266DE1" w:rsidRDefault="00B77AA4" w:rsidP="008907B4">
      <w:pPr>
        <w:pStyle w:val="Citation-AltC"/>
        <w:tabs>
          <w:tab w:val="left" w:pos="1620"/>
          <w:tab w:val="left" w:pos="1980"/>
        </w:tabs>
        <w:spacing w:after="240"/>
        <w:ind w:left="1620" w:hanging="1620"/>
        <w:contextualSpacing w:val="0"/>
        <w:rPr>
          <w:szCs w:val="24"/>
          <w:u w:val="single"/>
          <w:lang w:val="fr-CA"/>
        </w:rPr>
      </w:pPr>
      <w:r w:rsidRPr="00266DE1">
        <w:rPr>
          <w:rStyle w:val="Emphasis"/>
          <w:szCs w:val="24"/>
          <w:lang w:val="fr-CA"/>
        </w:rPr>
        <w:tab/>
        <w:t>f</w:t>
      </w:r>
      <w:r w:rsidR="00C83EF7">
        <w:rPr>
          <w:szCs w:val="24"/>
          <w:lang w:val="fr-CA"/>
        </w:rPr>
        <w:t>)</w:t>
      </w:r>
      <w:r w:rsidR="00C83EF7">
        <w:rPr>
          <w:szCs w:val="24"/>
          <w:lang w:val="fr-CA"/>
        </w:rPr>
        <w:tab/>
      </w:r>
      <w:r w:rsidRPr="00266DE1">
        <w:rPr>
          <w:szCs w:val="24"/>
          <w:u w:val="single"/>
          <w:lang w:val="fr-CA"/>
        </w:rPr>
        <w:t>de communiquer au publi</w:t>
      </w:r>
      <w:r w:rsidR="003B1184">
        <w:rPr>
          <w:szCs w:val="24"/>
          <w:u w:val="single"/>
          <w:lang w:val="fr-CA"/>
        </w:rPr>
        <w:t>c, par télécommunication, une œ</w:t>
      </w:r>
      <w:r w:rsidRPr="00266DE1">
        <w:rPr>
          <w:szCs w:val="24"/>
          <w:u w:val="single"/>
          <w:lang w:val="fr-CA"/>
        </w:rPr>
        <w:t>uvre littéraire, dramatique, musicale ou artistique</w:t>
      </w:r>
      <w:r w:rsidRPr="00266DE1">
        <w:rPr>
          <w:szCs w:val="24"/>
          <w:lang w:val="fr-CA"/>
        </w:rPr>
        <w:t>;</w:t>
      </w:r>
    </w:p>
    <w:p w:rsidR="00B77AA4" w:rsidRPr="00266DE1" w:rsidRDefault="00B77AA4" w:rsidP="00C83EF7">
      <w:pPr>
        <w:pStyle w:val="Citation-AltC"/>
        <w:spacing w:after="240"/>
        <w:ind w:left="0"/>
        <w:contextualSpacing w:val="0"/>
        <w:jc w:val="center"/>
        <w:rPr>
          <w:szCs w:val="24"/>
          <w:lang w:val="fr-CA"/>
        </w:rPr>
      </w:pPr>
      <w:r w:rsidRPr="00266DE1">
        <w:rPr>
          <w:szCs w:val="24"/>
          <w:lang w:val="fr-CA"/>
        </w:rPr>
        <w:t>. . .</w:t>
      </w:r>
    </w:p>
    <w:p w:rsidR="00B77AA4" w:rsidRPr="00C4153A" w:rsidRDefault="00B77AA4" w:rsidP="00C83EF7">
      <w:pPr>
        <w:pStyle w:val="Citation-AltC"/>
        <w:ind w:hanging="1166"/>
        <w:contextualSpacing w:val="0"/>
        <w:rPr>
          <w:szCs w:val="24"/>
          <w:lang w:val="fr-CA"/>
        </w:rPr>
      </w:pPr>
      <w:r w:rsidRPr="00266DE1">
        <w:rPr>
          <w:szCs w:val="24"/>
          <w:lang w:val="fr-CA"/>
        </w:rPr>
        <w:tab/>
      </w:r>
      <w:r w:rsidRPr="00C4153A">
        <w:rPr>
          <w:szCs w:val="24"/>
          <w:lang w:val="fr-CA"/>
        </w:rPr>
        <w:t>Est inclus dans la présente définition le droit exclusif d’autoriser ces actes.</w:t>
      </w:r>
    </w:p>
    <w:p w:rsidR="00B77AA4" w:rsidRPr="00266DE1" w:rsidRDefault="00B77AA4" w:rsidP="00B77AA4">
      <w:pPr>
        <w:pStyle w:val="ParaNoNdepar-AltN"/>
        <w:rPr>
          <w:lang w:val="fr-CA"/>
        </w:rPr>
      </w:pPr>
      <w:r w:rsidRPr="00266DE1">
        <w:rPr>
          <w:szCs w:val="24"/>
          <w:lang w:val="fr-CA"/>
        </w:rPr>
        <w:t>L’article 2 de la Loi définit la « </w:t>
      </w:r>
      <w:r w:rsidRPr="00266DE1">
        <w:rPr>
          <w:rStyle w:val="definedterm"/>
          <w:szCs w:val="24"/>
          <w:shd w:val="clear" w:color="auto" w:fill="FFFFFF"/>
          <w:lang w:val="fr-CA"/>
        </w:rPr>
        <w:t>télécommunication »</w:t>
      </w:r>
      <w:r w:rsidR="00A451C4">
        <w:rPr>
          <w:rStyle w:val="definedterm"/>
          <w:szCs w:val="24"/>
          <w:shd w:val="clear" w:color="auto" w:fill="FFFFFF"/>
          <w:lang w:val="fr-CA"/>
        </w:rPr>
        <w:t> :</w:t>
      </w:r>
      <w:r w:rsidRPr="00266DE1">
        <w:rPr>
          <w:szCs w:val="24"/>
          <w:lang w:val="fr-CA"/>
        </w:rPr>
        <w:t xml:space="preserve"> </w:t>
      </w:r>
    </w:p>
    <w:p w:rsidR="00B77AA4" w:rsidRPr="00266DE1" w:rsidRDefault="00A451C4" w:rsidP="00B77AA4">
      <w:pPr>
        <w:pStyle w:val="Citation-AltC"/>
        <w:ind w:hanging="1166"/>
        <w:rPr>
          <w:lang w:val="fr-CA"/>
        </w:rPr>
      </w:pPr>
      <w:r>
        <w:rPr>
          <w:szCs w:val="24"/>
          <w:lang w:val="fr-CA"/>
        </w:rPr>
        <w:lastRenderedPageBreak/>
        <w:tab/>
        <w:t>« télécommunication » v</w:t>
      </w:r>
      <w:r w:rsidR="00B77AA4" w:rsidRPr="00266DE1">
        <w:rPr>
          <w:szCs w:val="24"/>
          <w:lang w:val="fr-CA"/>
        </w:rPr>
        <w:t>ise toute transmission de signes, signaux, écrits, images, sons ou renseignements de toute nature par fil, radio, procédé visuel ou optique, ou autre système électromagnétique;</w:t>
      </w:r>
    </w:p>
    <w:p w:rsidR="00B77AA4" w:rsidRPr="00266DE1" w:rsidRDefault="00B77AA4" w:rsidP="00B77AA4">
      <w:pPr>
        <w:pStyle w:val="ParaNoNdepar-AltN"/>
        <w:numPr>
          <w:ilvl w:val="0"/>
          <w:numId w:val="0"/>
        </w:numPr>
        <w:rPr>
          <w:lang w:val="fr-CA"/>
        </w:rPr>
      </w:pPr>
      <w:r w:rsidRPr="00266DE1">
        <w:rPr>
          <w:lang w:val="fr-CA"/>
        </w:rPr>
        <w:t xml:space="preserve">Les parties ne contestent pas qu’une transmission numérique constitue une « télécommunication ».  </w:t>
      </w:r>
    </w:p>
    <w:p w:rsidR="00B77AA4" w:rsidRPr="00266DE1" w:rsidRDefault="00B77AA4" w:rsidP="00061A95">
      <w:pPr>
        <w:pStyle w:val="TitleTitre-AltT"/>
        <w:tabs>
          <w:tab w:val="clear" w:pos="360"/>
          <w:tab w:val="left" w:pos="1170"/>
        </w:tabs>
        <w:ind w:left="540" w:hanging="540"/>
        <w:rPr>
          <w:lang w:val="fr-CA"/>
        </w:rPr>
      </w:pPr>
      <w:r w:rsidRPr="00266DE1">
        <w:rPr>
          <w:lang w:val="fr-CA"/>
        </w:rPr>
        <w:tab/>
        <w:t>(2)</w:t>
      </w:r>
      <w:r w:rsidRPr="00266DE1">
        <w:rPr>
          <w:lang w:val="fr-CA"/>
        </w:rPr>
        <w:tab/>
      </w:r>
      <w:r w:rsidRPr="00266DE1">
        <w:rPr>
          <w:u w:val="single"/>
          <w:lang w:val="fr-CA"/>
        </w:rPr>
        <w:t>La méthode d’interprétation de la loi</w:t>
      </w:r>
    </w:p>
    <w:p w:rsidR="00B77AA4" w:rsidRPr="00266DE1" w:rsidRDefault="00B77AA4" w:rsidP="00B77AA4">
      <w:pPr>
        <w:pStyle w:val="ParaNoNdepar-AltN"/>
        <w:rPr>
          <w:lang w:val="fr-CA"/>
        </w:rPr>
      </w:pPr>
      <w:r w:rsidRPr="00266DE1">
        <w:rPr>
          <w:lang w:val="fr-CA"/>
        </w:rPr>
        <w:t>Il convient d’interpréter la Loi conformément aux règles générales d’interprétation législative : « il faut lire les termes d’une loi dans leur contexte global en suivant le sens ordinaire et grammatical qui s’harmonise avec l’esprit de la loi, l’objet de la loi et l’intention du législateur » (</w:t>
      </w:r>
      <w:r w:rsidRPr="00266DE1">
        <w:rPr>
          <w:i/>
          <w:lang w:val="fr-CA"/>
        </w:rPr>
        <w:t xml:space="preserve">CCH Canadienne </w:t>
      </w:r>
      <w:proofErr w:type="spellStart"/>
      <w:r w:rsidRPr="00266DE1">
        <w:rPr>
          <w:i/>
          <w:lang w:val="fr-CA"/>
        </w:rPr>
        <w:t>Ltée</w:t>
      </w:r>
      <w:proofErr w:type="spellEnd"/>
      <w:r w:rsidRPr="00266DE1">
        <w:rPr>
          <w:i/>
          <w:lang w:val="fr-CA"/>
        </w:rPr>
        <w:t xml:space="preserve"> c. Barreau du Haut</w:t>
      </w:r>
      <w:r w:rsidR="002F38C1">
        <w:rPr>
          <w:i/>
          <w:lang w:val="fr-CA"/>
        </w:rPr>
        <w:t>-</w:t>
      </w:r>
      <w:r w:rsidRPr="00266DE1">
        <w:rPr>
          <w:i/>
          <w:lang w:val="fr-CA"/>
        </w:rPr>
        <w:t>Canada</w:t>
      </w:r>
      <w:r w:rsidRPr="00266DE1">
        <w:rPr>
          <w:lang w:val="fr-CA"/>
        </w:rPr>
        <w:t>,</w:t>
      </w:r>
      <w:r w:rsidRPr="00266DE1">
        <w:rPr>
          <w:i/>
          <w:lang w:val="fr-CA"/>
        </w:rPr>
        <w:t xml:space="preserve"> </w:t>
      </w:r>
      <w:r w:rsidRPr="00266DE1">
        <w:rPr>
          <w:lang w:val="fr-CA"/>
        </w:rPr>
        <w:t>2004 CSC 13, [2004] 1 R.C.S. 339, par. 9,</w:t>
      </w:r>
      <w:r w:rsidRPr="00266DE1">
        <w:rPr>
          <w:szCs w:val="24"/>
          <w:lang w:val="fr-CA"/>
        </w:rPr>
        <w:t xml:space="preserve"> où notre Cour </w:t>
      </w:r>
      <w:r w:rsidRPr="00266DE1">
        <w:rPr>
          <w:lang w:val="fr-CA"/>
        </w:rPr>
        <w:t>cite E. A. </w:t>
      </w:r>
      <w:proofErr w:type="spellStart"/>
      <w:r w:rsidRPr="00266DE1">
        <w:rPr>
          <w:lang w:val="fr-CA"/>
        </w:rPr>
        <w:t>Driedger</w:t>
      </w:r>
      <w:proofErr w:type="spellEnd"/>
      <w:r w:rsidRPr="00266DE1">
        <w:rPr>
          <w:lang w:val="fr-CA"/>
        </w:rPr>
        <w:t xml:space="preserve">, </w:t>
      </w:r>
      <w:r w:rsidRPr="00266DE1">
        <w:rPr>
          <w:i/>
          <w:lang w:val="fr-CA"/>
        </w:rPr>
        <w:t xml:space="preserve">Construction of </w:t>
      </w:r>
      <w:proofErr w:type="spellStart"/>
      <w:r w:rsidRPr="00266DE1">
        <w:rPr>
          <w:i/>
          <w:lang w:val="fr-CA"/>
        </w:rPr>
        <w:t>Statutes</w:t>
      </w:r>
      <w:proofErr w:type="spellEnd"/>
      <w:r w:rsidRPr="00266DE1">
        <w:rPr>
          <w:lang w:val="fr-CA"/>
        </w:rPr>
        <w:t xml:space="preserve"> (2</w:t>
      </w:r>
      <w:r w:rsidRPr="00266DE1">
        <w:rPr>
          <w:vertAlign w:val="superscript"/>
          <w:lang w:val="fr-CA"/>
        </w:rPr>
        <w:t>e</w:t>
      </w:r>
      <w:r w:rsidRPr="00266DE1">
        <w:rPr>
          <w:lang w:val="fr-CA"/>
        </w:rPr>
        <w:t xml:space="preserve"> éd. 1983), p. 87).  </w:t>
      </w:r>
    </w:p>
    <w:p w:rsidR="00B77AA4" w:rsidRPr="00266DE1" w:rsidRDefault="00B77AA4" w:rsidP="00061A95">
      <w:pPr>
        <w:pStyle w:val="TitleTitre-AltT"/>
        <w:tabs>
          <w:tab w:val="clear" w:pos="360"/>
          <w:tab w:val="left" w:pos="1170"/>
        </w:tabs>
        <w:ind w:left="540" w:hanging="540"/>
        <w:rPr>
          <w:szCs w:val="24"/>
          <w:lang w:val="fr-CA"/>
        </w:rPr>
      </w:pPr>
      <w:r w:rsidRPr="00266DE1">
        <w:rPr>
          <w:lang w:val="fr-CA"/>
        </w:rPr>
        <w:tab/>
        <w:t>(3)</w:t>
      </w:r>
      <w:r w:rsidRPr="00266DE1">
        <w:rPr>
          <w:lang w:val="fr-CA"/>
        </w:rPr>
        <w:tab/>
      </w:r>
      <w:r w:rsidRPr="00266DE1">
        <w:rPr>
          <w:u w:val="single"/>
          <w:lang w:val="fr-CA"/>
        </w:rPr>
        <w:t>La jurisprudence</w:t>
      </w:r>
    </w:p>
    <w:p w:rsidR="00B77AA4" w:rsidRPr="00266DE1" w:rsidRDefault="00B77AA4" w:rsidP="00B77AA4">
      <w:pPr>
        <w:pStyle w:val="ParaNoNdepar-AltN"/>
        <w:rPr>
          <w:rStyle w:val="ssens"/>
          <w:szCs w:val="24"/>
          <w:lang w:val="fr-CA"/>
        </w:rPr>
      </w:pPr>
      <w:r w:rsidRPr="00266DE1">
        <w:rPr>
          <w:szCs w:val="24"/>
          <w:lang w:val="fr-CA"/>
        </w:rPr>
        <w:t xml:space="preserve">Comme le mot </w:t>
      </w:r>
      <w:r w:rsidRPr="00266DE1">
        <w:rPr>
          <w:lang w:val="fr-CA"/>
        </w:rPr>
        <w:t>« </w:t>
      </w:r>
      <w:r w:rsidRPr="00266DE1">
        <w:rPr>
          <w:szCs w:val="24"/>
          <w:lang w:val="fr-CA"/>
        </w:rPr>
        <w:t>communiquer</w:t>
      </w:r>
      <w:r w:rsidRPr="00266DE1">
        <w:rPr>
          <w:lang w:val="fr-CA"/>
        </w:rPr>
        <w:t> »</w:t>
      </w:r>
      <w:r w:rsidRPr="00266DE1">
        <w:rPr>
          <w:szCs w:val="24"/>
          <w:lang w:val="fr-CA"/>
        </w:rPr>
        <w:t xml:space="preserve"> n’est pas défini dans la Loi, je pars de sa définition lexicographique.  </w:t>
      </w:r>
      <w:r w:rsidRPr="00266DE1">
        <w:rPr>
          <w:i/>
          <w:szCs w:val="24"/>
          <w:lang w:val="fr-CA"/>
        </w:rPr>
        <w:t>Le Petit Robert</w:t>
      </w:r>
      <w:r w:rsidRPr="00266DE1">
        <w:rPr>
          <w:szCs w:val="24"/>
          <w:lang w:val="fr-CA"/>
        </w:rPr>
        <w:t xml:space="preserve"> </w:t>
      </w:r>
      <w:r w:rsidR="00A451C4">
        <w:rPr>
          <w:szCs w:val="24"/>
          <w:lang w:val="fr-CA"/>
        </w:rPr>
        <w:t xml:space="preserve">(2012), p. 482, </w:t>
      </w:r>
      <w:r w:rsidRPr="00266DE1">
        <w:rPr>
          <w:szCs w:val="24"/>
          <w:lang w:val="fr-CA"/>
        </w:rPr>
        <w:t>en donne la définition suivante :</w:t>
      </w:r>
      <w:r w:rsidRPr="00266DE1">
        <w:rPr>
          <w:smallCaps/>
          <w:lang w:val="fr-CA"/>
        </w:rPr>
        <w:t xml:space="preserve"> </w:t>
      </w:r>
      <w:r w:rsidRPr="00266DE1">
        <w:rPr>
          <w:szCs w:val="24"/>
          <w:lang w:val="fr-CA"/>
        </w:rPr>
        <w:t>« Faire connaître (</w:t>
      </w:r>
      <w:proofErr w:type="spellStart"/>
      <w:r w:rsidRPr="00266DE1">
        <w:rPr>
          <w:szCs w:val="24"/>
          <w:lang w:val="fr-CA"/>
        </w:rPr>
        <w:t>qqch</w:t>
      </w:r>
      <w:proofErr w:type="spellEnd"/>
      <w:r w:rsidRPr="00266DE1">
        <w:rPr>
          <w:szCs w:val="24"/>
          <w:lang w:val="fr-CA"/>
        </w:rPr>
        <w:t xml:space="preserve">.) à qqn. [. . .] dire, divulguer, donner, livrer, publier, transmettre.  </w:t>
      </w:r>
      <w:r w:rsidRPr="00A451C4">
        <w:rPr>
          <w:i/>
          <w:szCs w:val="24"/>
          <w:lang w:val="fr-CA"/>
        </w:rPr>
        <w:t>Communiquer une nouvelle</w:t>
      </w:r>
      <w:r w:rsidRPr="00266DE1">
        <w:rPr>
          <w:szCs w:val="24"/>
          <w:lang w:val="fr-CA"/>
        </w:rPr>
        <w:t xml:space="preserve"> [. . .] annoncer [. . .] livrer, révéler [. . .] échanger [. . .] Faire partager [. . .] Rendre commun à; transmettre (</w:t>
      </w:r>
      <w:proofErr w:type="spellStart"/>
      <w:r w:rsidRPr="00266DE1">
        <w:rPr>
          <w:szCs w:val="24"/>
          <w:lang w:val="fr-CA"/>
        </w:rPr>
        <w:t>qqch</w:t>
      </w:r>
      <w:proofErr w:type="spellEnd"/>
      <w:r w:rsidRPr="00266DE1">
        <w:rPr>
          <w:szCs w:val="24"/>
          <w:lang w:val="fr-CA"/>
        </w:rPr>
        <w:t xml:space="preserve">.) ».  Selon le </w:t>
      </w:r>
      <w:r w:rsidRPr="00266DE1">
        <w:rPr>
          <w:i/>
          <w:szCs w:val="24"/>
          <w:lang w:val="fr-CA"/>
        </w:rPr>
        <w:t xml:space="preserve">Trésor de la langue française </w:t>
      </w:r>
      <w:r w:rsidRPr="00266DE1">
        <w:rPr>
          <w:szCs w:val="24"/>
          <w:lang w:val="fr-CA"/>
        </w:rPr>
        <w:t xml:space="preserve">(en ligne), « communiquer » s’entend de ce qui suit : </w:t>
      </w:r>
      <w:r w:rsidRPr="00266DE1">
        <w:rPr>
          <w:szCs w:val="24"/>
          <w:lang w:val="fr-CA"/>
        </w:rPr>
        <w:lastRenderedPageBreak/>
        <w:t>« Faire part de, donner connaissance de quelque chose à quelqu’un, par relation plus ou moins directe avec le destinataire [. . .] Faire partager quelque chose à quelqu’un ».</w:t>
      </w:r>
      <w:r w:rsidRPr="00266DE1">
        <w:rPr>
          <w:rStyle w:val="ssens"/>
          <w:szCs w:val="24"/>
          <w:lang w:val="fr-CA"/>
        </w:rPr>
        <w:t xml:space="preserve">  Aucun élément dans ces définitions ne donne à entendre que le verbe « communiquer » ne peut signifier « transmettre ».  D’ailleurs, dans </w:t>
      </w:r>
      <w:r w:rsidRPr="00266DE1">
        <w:rPr>
          <w:rStyle w:val="ssens"/>
          <w:i/>
          <w:szCs w:val="24"/>
          <w:lang w:val="fr-CA"/>
        </w:rPr>
        <w:t>Le</w:t>
      </w:r>
      <w:r w:rsidRPr="00266DE1">
        <w:rPr>
          <w:rStyle w:val="ssens"/>
          <w:szCs w:val="24"/>
          <w:lang w:val="fr-CA"/>
        </w:rPr>
        <w:t xml:space="preserve"> </w:t>
      </w:r>
      <w:r w:rsidRPr="00266DE1">
        <w:rPr>
          <w:i/>
          <w:szCs w:val="24"/>
          <w:lang w:val="fr-CA"/>
        </w:rPr>
        <w:t xml:space="preserve">Petit </w:t>
      </w:r>
      <w:r w:rsidRPr="00266DE1">
        <w:rPr>
          <w:rStyle w:val="ssens"/>
          <w:i/>
          <w:szCs w:val="24"/>
          <w:lang w:val="fr-CA"/>
        </w:rPr>
        <w:t>Robert</w:t>
      </w:r>
      <w:r w:rsidRPr="00266DE1">
        <w:rPr>
          <w:rStyle w:val="ssens"/>
          <w:szCs w:val="24"/>
          <w:lang w:val="fr-CA"/>
        </w:rPr>
        <w:t>, le mot « transmettre » est expressément employé pour définir « communiquer ».</w:t>
      </w:r>
    </w:p>
    <w:p w:rsidR="00B77AA4" w:rsidRPr="00266DE1" w:rsidRDefault="00B77AA4" w:rsidP="00B77AA4">
      <w:pPr>
        <w:pStyle w:val="ParaNoNdepar-AltN"/>
        <w:rPr>
          <w:rStyle w:val="ssens"/>
          <w:szCs w:val="24"/>
          <w:lang w:val="fr-CA"/>
        </w:rPr>
      </w:pPr>
      <w:r w:rsidRPr="00266DE1">
        <w:rPr>
          <w:rStyle w:val="ssens"/>
          <w:szCs w:val="24"/>
          <w:lang w:val="fr-CA"/>
        </w:rPr>
        <w:t xml:space="preserve">Dans l’arrêt </w:t>
      </w:r>
      <w:r w:rsidRPr="00266DE1">
        <w:rPr>
          <w:rStyle w:val="ssens"/>
          <w:i/>
          <w:szCs w:val="24"/>
          <w:lang w:val="fr-CA"/>
        </w:rPr>
        <w:t>SOCAN c. ACFI</w:t>
      </w:r>
      <w:r w:rsidRPr="00266DE1">
        <w:rPr>
          <w:rStyle w:val="ssens"/>
          <w:szCs w:val="24"/>
          <w:lang w:val="fr-CA"/>
        </w:rPr>
        <w:t>, même si la question n’est pas directement en litige (voir par. 30), le juge Binnie retient le sens ordinaire du verbe « communiquer » employé à l’al. 3(1)</w:t>
      </w:r>
      <w:r w:rsidRPr="00266DE1">
        <w:rPr>
          <w:rStyle w:val="ssens"/>
          <w:i/>
          <w:szCs w:val="24"/>
          <w:lang w:val="fr-CA"/>
        </w:rPr>
        <w:t>f</w:t>
      </w:r>
      <w:r w:rsidRPr="00266DE1">
        <w:rPr>
          <w:rStyle w:val="ssens"/>
          <w:szCs w:val="24"/>
          <w:lang w:val="fr-CA"/>
        </w:rPr>
        <w:t xml:space="preserve">) de la </w:t>
      </w:r>
      <w:r w:rsidRPr="00266DE1">
        <w:rPr>
          <w:rStyle w:val="ssens"/>
          <w:i/>
          <w:szCs w:val="24"/>
          <w:lang w:val="fr-CA"/>
        </w:rPr>
        <w:t>Loi sur le droit d’auteur</w:t>
      </w:r>
      <w:r w:rsidRPr="00266DE1">
        <w:rPr>
          <w:rStyle w:val="ssens"/>
          <w:szCs w:val="24"/>
          <w:lang w:val="fr-CA"/>
        </w:rPr>
        <w:t xml:space="preserve"> : </w:t>
      </w:r>
    </w:p>
    <w:p w:rsidR="00B77AA4" w:rsidRPr="00266DE1" w:rsidRDefault="00B77AA4" w:rsidP="00061A95">
      <w:pPr>
        <w:pStyle w:val="Citation-AltC"/>
        <w:spacing w:after="240"/>
        <w:ind w:hanging="1166"/>
        <w:contextualSpacing w:val="0"/>
        <w:rPr>
          <w:lang w:val="fr-CA"/>
        </w:rPr>
      </w:pPr>
      <w:r w:rsidRPr="00266DE1">
        <w:rPr>
          <w:lang w:val="fr-CA"/>
        </w:rPr>
        <w:tab/>
        <w:t>La Commission a statué qu’il y avait télécommunication lors de la transmission de l’œuvre musicale du serveur hôte à l’utilisateur final.  Je suis d’accord.</w:t>
      </w:r>
    </w:p>
    <w:p w:rsidR="00B77AA4" w:rsidRPr="00266DE1" w:rsidRDefault="00B77AA4" w:rsidP="00061A95">
      <w:pPr>
        <w:pStyle w:val="Citation-AltC"/>
        <w:spacing w:after="240"/>
        <w:ind w:left="0"/>
        <w:contextualSpacing w:val="0"/>
        <w:jc w:val="center"/>
        <w:rPr>
          <w:rStyle w:val="ssens"/>
          <w:rFonts w:eastAsiaTheme="majorEastAsia"/>
          <w:szCs w:val="24"/>
          <w:lang w:val="fr-CA"/>
        </w:rPr>
      </w:pPr>
      <w:r w:rsidRPr="00266DE1">
        <w:rPr>
          <w:rStyle w:val="ssens"/>
          <w:rFonts w:eastAsiaTheme="majorEastAsia"/>
          <w:szCs w:val="24"/>
          <w:lang w:val="fr-CA"/>
        </w:rPr>
        <w:t>. . .</w:t>
      </w:r>
    </w:p>
    <w:p w:rsidR="00B77AA4" w:rsidRPr="00266DE1" w:rsidRDefault="00B77AA4" w:rsidP="00061A95">
      <w:pPr>
        <w:pStyle w:val="Citation-AltC"/>
        <w:tabs>
          <w:tab w:val="left" w:pos="1620"/>
        </w:tabs>
        <w:ind w:hanging="1166"/>
        <w:contextualSpacing w:val="0"/>
        <w:rPr>
          <w:rStyle w:val="ssens"/>
          <w:rFonts w:eastAsiaTheme="majorEastAsia"/>
          <w:szCs w:val="24"/>
          <w:lang w:val="fr-CA"/>
        </w:rPr>
      </w:pPr>
      <w:r w:rsidRPr="00266DE1">
        <w:rPr>
          <w:lang w:val="fr-CA"/>
        </w:rPr>
        <w:tab/>
      </w:r>
      <w:r w:rsidR="00061A95">
        <w:rPr>
          <w:lang w:val="fr-CA"/>
        </w:rPr>
        <w:tab/>
      </w:r>
      <w:r w:rsidRPr="00266DE1">
        <w:rPr>
          <w:lang w:val="fr-CA"/>
        </w:rPr>
        <w:t>Dans son sens ordinaire, le mot « communiquer » signifie « faire connaître » ou « transmettre » (</w:t>
      </w:r>
      <w:r w:rsidRPr="00266DE1">
        <w:rPr>
          <w:i/>
          <w:iCs/>
          <w:lang w:val="fr-CA"/>
        </w:rPr>
        <w:t xml:space="preserve">Le Nouveau Petit Robert </w:t>
      </w:r>
      <w:r w:rsidRPr="00266DE1">
        <w:rPr>
          <w:lang w:val="fr-CA"/>
        </w:rPr>
        <w:t>(2003), p. 485)</w:t>
      </w:r>
      <w:r w:rsidRPr="00266DE1">
        <w:rPr>
          <w:rStyle w:val="ssens"/>
          <w:rFonts w:eastAsiaTheme="majorEastAsia"/>
          <w:szCs w:val="24"/>
          <w:lang w:val="fr-CA"/>
        </w:rPr>
        <w:t>.  [</w:t>
      </w:r>
      <w:proofErr w:type="gramStart"/>
      <w:r w:rsidRPr="00266DE1">
        <w:rPr>
          <w:rStyle w:val="ssens"/>
          <w:rFonts w:eastAsiaTheme="majorEastAsia"/>
          <w:szCs w:val="24"/>
          <w:lang w:val="fr-CA"/>
        </w:rPr>
        <w:t>par</w:t>
      </w:r>
      <w:proofErr w:type="gramEnd"/>
      <w:r w:rsidRPr="00266DE1">
        <w:rPr>
          <w:rStyle w:val="ssens"/>
          <w:rFonts w:eastAsiaTheme="majorEastAsia"/>
          <w:szCs w:val="24"/>
          <w:lang w:val="fr-CA"/>
        </w:rPr>
        <w:t>. 42 et 46]</w:t>
      </w:r>
    </w:p>
    <w:p w:rsidR="00B77AA4" w:rsidRPr="00266DE1" w:rsidRDefault="00B77AA4" w:rsidP="00B77AA4">
      <w:pPr>
        <w:pStyle w:val="ParaNoNdepar-AltN"/>
        <w:rPr>
          <w:szCs w:val="24"/>
          <w:lang w:val="fr-CA"/>
        </w:rPr>
      </w:pPr>
      <w:r w:rsidRPr="00266DE1">
        <w:rPr>
          <w:rStyle w:val="ssens"/>
          <w:szCs w:val="24"/>
          <w:lang w:val="fr-CA"/>
        </w:rPr>
        <w:t>Depuis cet arrêt, la CAF a eu l’occasion de se prononcer directement sur la portée du droit de « communiquer » conféré à l’al. 3(1)</w:t>
      </w:r>
      <w:r w:rsidRPr="00266DE1">
        <w:rPr>
          <w:rStyle w:val="ssens"/>
          <w:i/>
          <w:szCs w:val="24"/>
          <w:lang w:val="fr-CA"/>
        </w:rPr>
        <w:t>f</w:t>
      </w:r>
      <w:r w:rsidRPr="00266DE1">
        <w:rPr>
          <w:rStyle w:val="ssens"/>
          <w:szCs w:val="24"/>
          <w:lang w:val="fr-CA"/>
        </w:rPr>
        <w:t xml:space="preserve">) : </w:t>
      </w:r>
      <w:proofErr w:type="spellStart"/>
      <w:r w:rsidRPr="00266DE1">
        <w:rPr>
          <w:rStyle w:val="ssens"/>
          <w:i/>
          <w:szCs w:val="24"/>
          <w:lang w:val="fr-CA"/>
        </w:rPr>
        <w:t>Assoc</w:t>
      </w:r>
      <w:proofErr w:type="spellEnd"/>
      <w:r w:rsidR="00061A95">
        <w:rPr>
          <w:rStyle w:val="ssens"/>
          <w:i/>
          <w:szCs w:val="24"/>
          <w:lang w:val="fr-CA"/>
        </w:rPr>
        <w:t>.</w:t>
      </w:r>
      <w:r w:rsidRPr="00266DE1">
        <w:rPr>
          <w:rStyle w:val="ssens"/>
          <w:i/>
          <w:szCs w:val="24"/>
          <w:lang w:val="fr-CA"/>
        </w:rPr>
        <w:t xml:space="preserve"> canadienne des télécommunications sans fil c. Société canadienne des auteurs, compositeurs et éditeurs de musique</w:t>
      </w:r>
      <w:r w:rsidRPr="00266DE1">
        <w:rPr>
          <w:rStyle w:val="ssens"/>
          <w:szCs w:val="24"/>
          <w:lang w:val="fr-CA"/>
        </w:rPr>
        <w:t>, 2008 CAF 6, [2008] 3 R.C.F. 539, autorisation d’appel refusée, [2008] 2 R.C.S. vi (</w:t>
      </w:r>
      <w:r w:rsidRPr="00266DE1">
        <w:rPr>
          <w:lang w:val="fr-CA"/>
        </w:rPr>
        <w:t>« </w:t>
      </w:r>
      <w:r w:rsidRPr="00266DE1">
        <w:rPr>
          <w:i/>
          <w:lang w:val="fr-CA"/>
        </w:rPr>
        <w:t>ACTSF</w:t>
      </w:r>
      <w:r w:rsidRPr="00266DE1">
        <w:rPr>
          <w:lang w:val="fr-CA"/>
        </w:rPr>
        <w:t> »).  La question qui se posait alors et à laquelle la CAF répond par l’affirmative était celle de savoir si une personne communique au public l’œuvre musicale contenue dans une sonnerie lorsqu’un particulier télécharge celle</w:t>
      </w:r>
      <w:r w:rsidR="002F38C1">
        <w:rPr>
          <w:lang w:val="fr-CA"/>
        </w:rPr>
        <w:t>-</w:t>
      </w:r>
      <w:r w:rsidRPr="00266DE1">
        <w:rPr>
          <w:lang w:val="fr-CA"/>
        </w:rPr>
        <w:t xml:space="preserve">ci </w:t>
      </w:r>
      <w:r w:rsidRPr="00266DE1">
        <w:rPr>
          <w:lang w:val="fr-CA"/>
        </w:rPr>
        <w:lastRenderedPageBreak/>
        <w:t xml:space="preserve">dans son téléphone portable.  La juge </w:t>
      </w:r>
      <w:proofErr w:type="spellStart"/>
      <w:r w:rsidRPr="00266DE1">
        <w:rPr>
          <w:lang w:val="fr-CA"/>
        </w:rPr>
        <w:t>Sharlow</w:t>
      </w:r>
      <w:proofErr w:type="spellEnd"/>
      <w:r w:rsidRPr="00266DE1">
        <w:rPr>
          <w:lang w:val="fr-CA"/>
        </w:rPr>
        <w:t xml:space="preserve"> rejette la prétention voulant que la transmission ne puisse être assimilée à la communication parce que « le mot </w:t>
      </w:r>
      <w:r w:rsidR="00061A95">
        <w:rPr>
          <w:rFonts w:cs="Times New Roman"/>
          <w:lang w:val="fr-CA"/>
        </w:rPr>
        <w:t>“</w:t>
      </w:r>
      <w:r w:rsidRPr="00266DE1">
        <w:rPr>
          <w:lang w:val="fr-CA"/>
        </w:rPr>
        <w:t>communication</w:t>
      </w:r>
      <w:r w:rsidR="00061A95">
        <w:rPr>
          <w:rFonts w:cs="Times New Roman"/>
          <w:lang w:val="fr-CA"/>
        </w:rPr>
        <w:t>”</w:t>
      </w:r>
      <w:r w:rsidRPr="00266DE1">
        <w:rPr>
          <w:lang w:val="fr-CA"/>
        </w:rPr>
        <w:t xml:space="preserve"> ne doit s’entendre que d’une transmission qui est censée être entendue ou perçue par le destinataire en même temps que la transmission ou immédiatement après » (par. 18).  Elle écrit : </w:t>
      </w:r>
    </w:p>
    <w:p w:rsidR="00B77AA4" w:rsidRPr="00266DE1" w:rsidRDefault="00B77AA4" w:rsidP="00061A95">
      <w:pPr>
        <w:pStyle w:val="Citation-AltC"/>
        <w:tabs>
          <w:tab w:val="left" w:pos="1620"/>
        </w:tabs>
        <w:spacing w:after="240"/>
        <w:ind w:hanging="1166"/>
        <w:contextualSpacing w:val="0"/>
        <w:rPr>
          <w:lang w:val="fr-CA"/>
        </w:rPr>
      </w:pPr>
      <w:r w:rsidRPr="00266DE1">
        <w:rPr>
          <w:lang w:val="fr-CA"/>
        </w:rPr>
        <w:tab/>
      </w:r>
      <w:r w:rsidRPr="00266DE1">
        <w:rPr>
          <w:lang w:val="fr-CA"/>
        </w:rPr>
        <w:tab/>
      </w:r>
      <w:r w:rsidRPr="00266DE1">
        <w:rPr>
          <w:u w:val="single"/>
          <w:lang w:val="fr-CA"/>
        </w:rPr>
        <w:t xml:space="preserve">À mon avis, les </w:t>
      </w:r>
      <w:proofErr w:type="spellStart"/>
      <w:r w:rsidRPr="00266DE1">
        <w:rPr>
          <w:u w:val="single"/>
          <w:lang w:val="fr-CA"/>
        </w:rPr>
        <w:t>demanderesses</w:t>
      </w:r>
      <w:proofErr w:type="spellEnd"/>
      <w:r w:rsidRPr="00266DE1">
        <w:rPr>
          <w:u w:val="single"/>
          <w:lang w:val="fr-CA"/>
        </w:rPr>
        <w:t xml:space="preserve"> proposent une définition du terme « communication » qui est trop limitative.  Le terme « communication » s’entend de la transmission d’informations d’une personne à une autre.  Une sonnerie musicale est une information présentée sous forme de fichier audionumérique apte à être communiqué.  Le mode normal de communication d’un fichier audionumérique est sa transmission.</w:t>
      </w:r>
      <w:r w:rsidRPr="00266DE1">
        <w:rPr>
          <w:lang w:val="fr-CA"/>
        </w:rPr>
        <w:t xml:space="preserve">  La transmission sans fil d’une sonnerie musicale à un téléphone cellulaire constitue une communication, </w:t>
      </w:r>
      <w:r w:rsidRPr="00266DE1">
        <w:rPr>
          <w:u w:val="single"/>
          <w:lang w:val="fr-CA"/>
        </w:rPr>
        <w:t>que le propriétaire du cellulaire y accède immédiatement, pour écouter la musique, ou plus tard</w:t>
      </w:r>
      <w:r w:rsidRPr="00061A95">
        <w:rPr>
          <w:lang w:val="fr-CA"/>
        </w:rPr>
        <w:t>.</w:t>
      </w:r>
      <w:r w:rsidRPr="00266DE1">
        <w:rPr>
          <w:lang w:val="fr-CA"/>
        </w:rPr>
        <w:t xml:space="preserve">  Le fait que la technologie employée pour la transmission ne permet pas au propriétaire du cellulaire d’écouter la musique au cours de la transmission ne signifie pas qu’il n’y a pas de communication.  À mon avis, dans le contexte d’une transmission sans fil, c’est la réception de la transmission qui complète la communication. </w:t>
      </w:r>
    </w:p>
    <w:p w:rsidR="00B77AA4" w:rsidRPr="00266DE1" w:rsidRDefault="00B77AA4" w:rsidP="00061A95">
      <w:pPr>
        <w:pStyle w:val="Citation-AltC"/>
        <w:tabs>
          <w:tab w:val="left" w:pos="1620"/>
        </w:tabs>
        <w:ind w:hanging="1166"/>
        <w:contextualSpacing w:val="0"/>
        <w:rPr>
          <w:u w:val="single"/>
          <w:lang w:val="fr-CA"/>
        </w:rPr>
      </w:pPr>
      <w:r w:rsidRPr="00266DE1">
        <w:rPr>
          <w:lang w:val="fr-CA"/>
        </w:rPr>
        <w:tab/>
      </w:r>
      <w:r w:rsidRPr="00266DE1">
        <w:rPr>
          <w:lang w:val="fr-CA"/>
        </w:rPr>
        <w:tab/>
        <w:t xml:space="preserve">Cette conclusion s’accorde avec l’arrêt </w:t>
      </w:r>
      <w:r w:rsidRPr="00A451C4">
        <w:rPr>
          <w:i/>
          <w:lang w:val="fr-CA"/>
        </w:rPr>
        <w:t>SOCAN</w:t>
      </w:r>
      <w:r w:rsidRPr="00266DE1">
        <w:rPr>
          <w:lang w:val="fr-CA"/>
        </w:rPr>
        <w:t xml:space="preserve"> (précité).  Dans cet arrêt, le juge Binnie, qui écrivait pour la majorité, a expliqué que la transmission d’informations par Internet constitue une « communication » une fois que l’information est reçue (voir le paragraphe 45). </w:t>
      </w:r>
      <w:r w:rsidR="00061A95">
        <w:rPr>
          <w:lang w:val="fr-CA"/>
        </w:rPr>
        <w:t>[</w:t>
      </w:r>
      <w:r w:rsidRPr="00266DE1">
        <w:rPr>
          <w:lang w:val="fr-CA"/>
        </w:rPr>
        <w:t>. . .</w:t>
      </w:r>
      <w:r w:rsidR="00061A95">
        <w:rPr>
          <w:lang w:val="fr-CA"/>
        </w:rPr>
        <w:t>]</w:t>
      </w:r>
      <w:r w:rsidRPr="00266DE1">
        <w:rPr>
          <w:lang w:val="fr-CA"/>
        </w:rPr>
        <w:t xml:space="preserve"> [C]</w:t>
      </w:r>
      <w:proofErr w:type="spellStart"/>
      <w:r w:rsidRPr="00266DE1">
        <w:rPr>
          <w:lang w:val="fr-CA"/>
        </w:rPr>
        <w:t>ette</w:t>
      </w:r>
      <w:proofErr w:type="spellEnd"/>
      <w:r w:rsidRPr="00266DE1">
        <w:rPr>
          <w:lang w:val="fr-CA"/>
        </w:rPr>
        <w:t xml:space="preserve"> affirmation est incontestablement véridique.  [Je souligne; par. 19</w:t>
      </w:r>
      <w:r w:rsidR="002F38C1">
        <w:rPr>
          <w:lang w:val="fr-CA"/>
        </w:rPr>
        <w:t>-</w:t>
      </w:r>
      <w:r w:rsidRPr="00266DE1">
        <w:rPr>
          <w:lang w:val="fr-CA"/>
        </w:rPr>
        <w:t>20.]</w:t>
      </w:r>
    </w:p>
    <w:p w:rsidR="00B77AA4" w:rsidRPr="00266DE1" w:rsidRDefault="00B77AA4" w:rsidP="00061A95">
      <w:pPr>
        <w:pStyle w:val="TitleTitre-AltT"/>
        <w:tabs>
          <w:tab w:val="clear" w:pos="360"/>
          <w:tab w:val="left" w:pos="540"/>
        </w:tabs>
        <w:ind w:left="1170" w:hanging="1170"/>
        <w:rPr>
          <w:lang w:val="fr-CA"/>
        </w:rPr>
      </w:pPr>
      <w:r w:rsidRPr="00266DE1">
        <w:rPr>
          <w:lang w:val="fr-CA"/>
        </w:rPr>
        <w:tab/>
        <w:t>(4)</w:t>
      </w:r>
      <w:r w:rsidRPr="00266DE1">
        <w:rPr>
          <w:lang w:val="fr-CA"/>
        </w:rPr>
        <w:tab/>
      </w:r>
      <w:r w:rsidRPr="00266DE1">
        <w:rPr>
          <w:u w:val="single"/>
          <w:lang w:val="fr-CA"/>
        </w:rPr>
        <w:t xml:space="preserve">Les motifs invoqués par ESA à l’encontre de l’application en l’espèce des arrêts </w:t>
      </w:r>
      <w:r w:rsidRPr="00266DE1">
        <w:rPr>
          <w:i/>
          <w:u w:val="single"/>
          <w:lang w:val="fr-CA"/>
        </w:rPr>
        <w:t>SOCAN c. ACFI</w:t>
      </w:r>
      <w:r w:rsidRPr="00266DE1">
        <w:rPr>
          <w:u w:val="single"/>
          <w:lang w:val="fr-CA"/>
        </w:rPr>
        <w:t xml:space="preserve"> et </w:t>
      </w:r>
      <w:r w:rsidRPr="00266DE1">
        <w:rPr>
          <w:i/>
          <w:u w:val="single"/>
          <w:lang w:val="fr-CA"/>
        </w:rPr>
        <w:t>ACTS</w:t>
      </w:r>
      <w:r w:rsidRPr="00061A95">
        <w:rPr>
          <w:i/>
          <w:u w:val="single"/>
          <w:lang w:val="fr-CA"/>
        </w:rPr>
        <w:t>F</w:t>
      </w:r>
      <w:r w:rsidRPr="00061A95">
        <w:rPr>
          <w:lang w:val="fr-CA"/>
        </w:rPr>
        <w:t xml:space="preserve"> </w:t>
      </w:r>
    </w:p>
    <w:p w:rsidR="00B77AA4" w:rsidRPr="00266DE1" w:rsidRDefault="00B77AA4" w:rsidP="00B77AA4">
      <w:pPr>
        <w:pStyle w:val="ParaNoNdepar-AltN"/>
        <w:rPr>
          <w:lang w:val="fr-CA"/>
        </w:rPr>
      </w:pPr>
      <w:r w:rsidRPr="00266DE1">
        <w:rPr>
          <w:lang w:val="fr-CA"/>
        </w:rPr>
        <w:t xml:space="preserve">ESA fait valoir qu’il n’y a pas lieu de suivre les arrêts </w:t>
      </w:r>
      <w:r w:rsidRPr="00266DE1">
        <w:rPr>
          <w:i/>
          <w:lang w:val="fr-CA"/>
        </w:rPr>
        <w:t>SOCAN c. ACFI</w:t>
      </w:r>
      <w:r w:rsidRPr="00266DE1">
        <w:rPr>
          <w:lang w:val="fr-CA"/>
        </w:rPr>
        <w:t xml:space="preserve"> (dans la mesure où il porte sur la question) et </w:t>
      </w:r>
      <w:r w:rsidRPr="00266DE1">
        <w:rPr>
          <w:i/>
          <w:lang w:val="fr-CA"/>
        </w:rPr>
        <w:t>ACTSF</w:t>
      </w:r>
      <w:r w:rsidRPr="00266DE1">
        <w:rPr>
          <w:lang w:val="fr-CA"/>
        </w:rPr>
        <w:t>.</w:t>
      </w:r>
    </w:p>
    <w:p w:rsidR="00B77AA4" w:rsidRPr="00266DE1" w:rsidRDefault="00B77AA4" w:rsidP="00061A95">
      <w:pPr>
        <w:pStyle w:val="TitleTitre-AltT"/>
        <w:tabs>
          <w:tab w:val="clear" w:pos="360"/>
          <w:tab w:val="left" w:pos="540"/>
        </w:tabs>
        <w:ind w:left="1170" w:hanging="1170"/>
        <w:rPr>
          <w:lang w:val="fr-CA"/>
        </w:rPr>
      </w:pPr>
      <w:r w:rsidRPr="00266DE1">
        <w:rPr>
          <w:lang w:val="fr-CA"/>
        </w:rPr>
        <w:lastRenderedPageBreak/>
        <w:tab/>
        <w:t>a)</w:t>
      </w:r>
      <w:r w:rsidRPr="00266DE1">
        <w:rPr>
          <w:lang w:val="fr-CA"/>
        </w:rPr>
        <w:tab/>
      </w:r>
      <w:r w:rsidRPr="00266DE1">
        <w:rPr>
          <w:i/>
          <w:lang w:val="fr-CA"/>
        </w:rPr>
        <w:t>« Communiquer » et « transmettre »</w:t>
      </w:r>
    </w:p>
    <w:p w:rsidR="00B77AA4" w:rsidRPr="00266DE1" w:rsidRDefault="00B77AA4" w:rsidP="00B77AA4">
      <w:pPr>
        <w:pStyle w:val="ParaNoNdepar-AltN"/>
        <w:rPr>
          <w:lang w:val="fr-CA"/>
        </w:rPr>
      </w:pPr>
      <w:r w:rsidRPr="00266DE1">
        <w:rPr>
          <w:lang w:val="fr-CA"/>
        </w:rPr>
        <w:t xml:space="preserve">ESA soutient d’abord qu’il y a forcément une différence entre « communiquer » et « transmettre ».  Les deux verbes ne sont pas interchangeables dans la Loi, et si le législateur emploie deux mots, c’est qu’il entend leur donner des sens différents.  Par conséquent, « communiquer au public » ne s’entendrait pas </w:t>
      </w:r>
      <w:r w:rsidRPr="00266DE1">
        <w:rPr>
          <w:smallCaps/>
          <w:lang w:val="fr-CA"/>
        </w:rPr>
        <w:t>[traduction]</w:t>
      </w:r>
      <w:r w:rsidRPr="00266DE1">
        <w:rPr>
          <w:lang w:val="fr-CA"/>
        </w:rPr>
        <w:t xml:space="preserve"> « seulement du fait de transmettre un fichier d’un point à un autre sans que le fi</w:t>
      </w:r>
      <w:r w:rsidR="00061A95">
        <w:rPr>
          <w:lang w:val="fr-CA"/>
        </w:rPr>
        <w:t>chier ne soit vu ou entendu » (</w:t>
      </w:r>
      <w:proofErr w:type="gramStart"/>
      <w:r w:rsidR="00061A95">
        <w:rPr>
          <w:lang w:val="fr-CA"/>
        </w:rPr>
        <w:t>m.a</w:t>
      </w:r>
      <w:r w:rsidRPr="00266DE1">
        <w:rPr>
          <w:lang w:val="fr-CA"/>
        </w:rPr>
        <w:t>.,</w:t>
      </w:r>
      <w:proofErr w:type="gramEnd"/>
      <w:r w:rsidRPr="00266DE1">
        <w:rPr>
          <w:lang w:val="fr-CA"/>
        </w:rPr>
        <w:t xml:space="preserve"> par. 73), de sorte que le téléchargement ne serait pas une communication pour les besoins de l’al. 3(1)</w:t>
      </w:r>
      <w:r w:rsidRPr="00266DE1">
        <w:rPr>
          <w:i/>
          <w:lang w:val="fr-CA"/>
        </w:rPr>
        <w:t>f</w:t>
      </w:r>
      <w:r w:rsidRPr="00266DE1">
        <w:rPr>
          <w:lang w:val="fr-CA"/>
        </w:rPr>
        <w:t>), mais une simple transmission.</w:t>
      </w:r>
    </w:p>
    <w:p w:rsidR="00B77AA4" w:rsidRPr="00266DE1" w:rsidRDefault="00B77AA4" w:rsidP="00B77AA4">
      <w:pPr>
        <w:pStyle w:val="ParaNoNdepar-AltN"/>
        <w:rPr>
          <w:lang w:val="fr-CA"/>
        </w:rPr>
      </w:pPr>
      <w:r w:rsidRPr="00266DE1">
        <w:rPr>
          <w:lang w:val="fr-CA"/>
        </w:rPr>
        <w:t>L’argument ne me convainc pas.  Le législateur est présumé employer les mots dans leur sens ordinaire :</w:t>
      </w:r>
      <w:r w:rsidRPr="00266DE1">
        <w:rPr>
          <w:szCs w:val="24"/>
          <w:lang w:val="fr-CA"/>
        </w:rPr>
        <w:t xml:space="preserve"> R. Sullivan, </w:t>
      </w:r>
      <w:proofErr w:type="spellStart"/>
      <w:r w:rsidRPr="00266DE1">
        <w:rPr>
          <w:i/>
          <w:szCs w:val="24"/>
          <w:lang w:val="fr-CA"/>
        </w:rPr>
        <w:t>Statutory</w:t>
      </w:r>
      <w:proofErr w:type="spellEnd"/>
      <w:r w:rsidRPr="00266DE1">
        <w:rPr>
          <w:i/>
          <w:szCs w:val="24"/>
          <w:lang w:val="fr-CA"/>
        </w:rPr>
        <w:t xml:space="preserve"> </w:t>
      </w:r>
      <w:proofErr w:type="spellStart"/>
      <w:r w:rsidRPr="00266DE1">
        <w:rPr>
          <w:i/>
          <w:szCs w:val="24"/>
          <w:lang w:val="fr-CA"/>
        </w:rPr>
        <w:t>Interpretation</w:t>
      </w:r>
      <w:proofErr w:type="spellEnd"/>
      <w:r w:rsidRPr="00266DE1">
        <w:rPr>
          <w:szCs w:val="24"/>
          <w:lang w:val="fr-CA"/>
        </w:rPr>
        <w:t xml:space="preserve"> (2</w:t>
      </w:r>
      <w:r w:rsidRPr="00266DE1">
        <w:rPr>
          <w:szCs w:val="24"/>
          <w:vertAlign w:val="superscript"/>
          <w:lang w:val="fr-CA"/>
        </w:rPr>
        <w:t>e</w:t>
      </w:r>
      <w:r w:rsidRPr="00266DE1">
        <w:rPr>
          <w:szCs w:val="24"/>
          <w:lang w:val="fr-CA"/>
        </w:rPr>
        <w:t> éd. 2007), p. 49.  Rappelons que « communiquer » s’entend de</w:t>
      </w:r>
      <w:r w:rsidRPr="00266DE1">
        <w:rPr>
          <w:lang w:val="fr-CA"/>
        </w:rPr>
        <w:t xml:space="preserve"> « faire part » ou de « transmettre ».  Selon </w:t>
      </w:r>
      <w:r w:rsidRPr="00266DE1">
        <w:rPr>
          <w:i/>
          <w:lang w:val="fr-CA"/>
        </w:rPr>
        <w:t>Le Petit Robert</w:t>
      </w:r>
      <w:r w:rsidRPr="00266DE1">
        <w:rPr>
          <w:lang w:val="fr-CA"/>
        </w:rPr>
        <w:t xml:space="preserve"> (</w:t>
      </w:r>
      <w:r w:rsidR="00A451C4">
        <w:rPr>
          <w:lang w:val="fr-CA"/>
        </w:rPr>
        <w:t>2012</w:t>
      </w:r>
      <w:r w:rsidRPr="00266DE1">
        <w:rPr>
          <w:lang w:val="fr-CA"/>
        </w:rPr>
        <w:t>),</w:t>
      </w:r>
      <w:r w:rsidRPr="00266DE1">
        <w:rPr>
          <w:szCs w:val="24"/>
          <w:lang w:val="fr-CA"/>
        </w:rPr>
        <w:t xml:space="preserve"> « transmettre » s’entend de </w:t>
      </w:r>
      <w:r w:rsidRPr="00266DE1">
        <w:rPr>
          <w:lang w:val="fr-CA"/>
        </w:rPr>
        <w:t>« [f]</w:t>
      </w:r>
      <w:r w:rsidRPr="00266DE1">
        <w:rPr>
          <w:szCs w:val="24"/>
          <w:lang w:val="fr-CA"/>
        </w:rPr>
        <w:t>aire passer</w:t>
      </w:r>
      <w:r w:rsidRPr="00266DE1">
        <w:rPr>
          <w:lang w:val="fr-CA"/>
        </w:rPr>
        <w:t xml:space="preserve"> d’une personne à une autre, d’un lieu à un autre (le plus souvent lorsqu’il y a un ou plusieurs intermédiaires) </w:t>
      </w:r>
      <w:r w:rsidRPr="00266DE1">
        <w:rPr>
          <w:szCs w:val="24"/>
          <w:lang w:val="fr-CA"/>
        </w:rPr>
        <w:t>[. . .]</w:t>
      </w:r>
      <w:r w:rsidR="00061A95">
        <w:rPr>
          <w:szCs w:val="24"/>
          <w:lang w:val="fr-CA"/>
        </w:rPr>
        <w:t xml:space="preserve"> </w:t>
      </w:r>
      <w:r w:rsidRPr="00266DE1">
        <w:rPr>
          <w:lang w:val="fr-CA"/>
        </w:rPr>
        <w:t xml:space="preserve">[f]aire passer (un objet matériel) d’une personne à une autre </w:t>
      </w:r>
      <w:r w:rsidRPr="00266DE1">
        <w:rPr>
          <w:szCs w:val="24"/>
          <w:lang w:val="fr-CA"/>
        </w:rPr>
        <w:t>[. . .]</w:t>
      </w:r>
      <w:r w:rsidRPr="00266DE1">
        <w:rPr>
          <w:lang w:val="fr-CA"/>
        </w:rPr>
        <w:t xml:space="preserve"> [f]aire passer d’une personne à une autre (un écrit, des paroles</w:t>
      </w:r>
      <w:r w:rsidR="00B14156">
        <w:rPr>
          <w:lang w:val="fr-CA"/>
        </w:rPr>
        <w:t xml:space="preserve"> [. . .]</w:t>
      </w:r>
      <w:r w:rsidRPr="00266DE1">
        <w:rPr>
          <w:lang w:val="fr-CA"/>
        </w:rPr>
        <w:t xml:space="preserve">) </w:t>
      </w:r>
      <w:r w:rsidRPr="00266DE1">
        <w:rPr>
          <w:szCs w:val="24"/>
          <w:lang w:val="fr-CA"/>
        </w:rPr>
        <w:t>[. . .]</w:t>
      </w:r>
      <w:r w:rsidRPr="00266DE1">
        <w:rPr>
          <w:lang w:val="fr-CA"/>
        </w:rPr>
        <w:t xml:space="preserve"> </w:t>
      </w:r>
      <w:r w:rsidR="00061A95">
        <w:rPr>
          <w:u w:val="single"/>
          <w:lang w:val="fr-CA"/>
        </w:rPr>
        <w:t>c</w:t>
      </w:r>
      <w:r w:rsidRPr="00266DE1">
        <w:rPr>
          <w:u w:val="single"/>
          <w:lang w:val="fr-CA"/>
        </w:rPr>
        <w:t>ommuniquer</w:t>
      </w:r>
      <w:r w:rsidR="00061A95">
        <w:rPr>
          <w:lang w:val="fr-CA"/>
        </w:rPr>
        <w:t xml:space="preserve"> [. . .]</w:t>
      </w:r>
      <w:r w:rsidRPr="00266DE1">
        <w:rPr>
          <w:lang w:val="fr-CA"/>
        </w:rPr>
        <w:t xml:space="preserve"> [f]aire connaître; faire passer </w:t>
      </w:r>
      <w:r w:rsidRPr="00B14156">
        <w:rPr>
          <w:lang w:val="fr-CA"/>
        </w:rPr>
        <w:t xml:space="preserve">à </w:t>
      </w:r>
      <w:r w:rsidRPr="00266DE1">
        <w:rPr>
          <w:lang w:val="fr-CA"/>
        </w:rPr>
        <w:t xml:space="preserve">un autre ou </w:t>
      </w:r>
      <w:r w:rsidRPr="00B14156">
        <w:rPr>
          <w:lang w:val="fr-CA"/>
        </w:rPr>
        <w:t xml:space="preserve">à </w:t>
      </w:r>
      <w:r w:rsidRPr="00266DE1">
        <w:rPr>
          <w:lang w:val="fr-CA"/>
        </w:rPr>
        <w:t xml:space="preserve">d’autres (des connaissances) » (je souligne); et, dans un sens plus technique : « Faire connaître, diffuser par radio </w:t>
      </w:r>
      <w:r w:rsidR="00B14156">
        <w:rPr>
          <w:szCs w:val="24"/>
          <w:lang w:val="fr-CA"/>
        </w:rPr>
        <w:t>[. . .] [f]</w:t>
      </w:r>
      <w:r w:rsidRPr="00266DE1">
        <w:rPr>
          <w:szCs w:val="24"/>
          <w:lang w:val="fr-CA"/>
        </w:rPr>
        <w:t xml:space="preserve">aire parvenir [au moyen d’un] </w:t>
      </w:r>
      <w:r w:rsidRPr="00266DE1">
        <w:rPr>
          <w:i/>
          <w:szCs w:val="24"/>
          <w:lang w:val="fr-CA"/>
        </w:rPr>
        <w:t>[d]</w:t>
      </w:r>
      <w:proofErr w:type="spellStart"/>
      <w:r w:rsidRPr="00266DE1">
        <w:rPr>
          <w:i/>
          <w:lang w:val="fr-CA"/>
        </w:rPr>
        <w:t>ispositif</w:t>
      </w:r>
      <w:proofErr w:type="spellEnd"/>
      <w:r w:rsidRPr="00266DE1">
        <w:rPr>
          <w:i/>
          <w:lang w:val="fr-CA"/>
        </w:rPr>
        <w:t xml:space="preserve"> qui transmet des informations, des signaux sous forme d’impulsions électriques.</w:t>
      </w:r>
      <w:r w:rsidR="00B14156">
        <w:rPr>
          <w:i/>
          <w:lang w:val="fr-CA"/>
        </w:rPr>
        <w:t xml:space="preserve"> . .</w:t>
      </w:r>
      <w:r w:rsidRPr="00266DE1">
        <w:rPr>
          <w:lang w:val="fr-CA"/>
        </w:rPr>
        <w:t xml:space="preserve"> »  Le </w:t>
      </w:r>
      <w:r w:rsidRPr="00266DE1">
        <w:rPr>
          <w:i/>
          <w:lang w:val="fr-CA"/>
        </w:rPr>
        <w:t>Trésor de la langue française</w:t>
      </w:r>
      <w:r w:rsidRPr="00266DE1">
        <w:rPr>
          <w:lang w:val="fr-CA"/>
        </w:rPr>
        <w:t xml:space="preserve"> renferme la définition suivante du mot « transmettre » :</w:t>
      </w:r>
      <w:r w:rsidRPr="00266DE1">
        <w:rPr>
          <w:szCs w:val="24"/>
          <w:lang w:val="fr-CA"/>
        </w:rPr>
        <w:t xml:space="preserve"> </w:t>
      </w:r>
    </w:p>
    <w:p w:rsidR="00B77AA4" w:rsidRPr="00266DE1" w:rsidRDefault="00B77AA4" w:rsidP="00B77AA4">
      <w:pPr>
        <w:pStyle w:val="Citation-AltC"/>
        <w:ind w:hanging="1166"/>
        <w:rPr>
          <w:rStyle w:val="ssens"/>
          <w:rFonts w:eastAsiaTheme="majorEastAsia"/>
          <w:szCs w:val="22"/>
          <w:lang w:val="fr-CA"/>
        </w:rPr>
      </w:pPr>
      <w:r w:rsidRPr="00266DE1">
        <w:rPr>
          <w:lang w:val="fr-CA"/>
        </w:rPr>
        <w:lastRenderedPageBreak/>
        <w:tab/>
        <w:t xml:space="preserve">Faire passer d’une personne à une autre </w:t>
      </w:r>
      <w:r w:rsidR="00B14156">
        <w:rPr>
          <w:lang w:val="fr-CA"/>
        </w:rPr>
        <w:t>[</w:t>
      </w:r>
      <w:r w:rsidRPr="00266DE1">
        <w:rPr>
          <w:lang w:val="fr-CA"/>
        </w:rPr>
        <w:t>. . </w:t>
      </w:r>
      <w:r w:rsidR="003B1184">
        <w:rPr>
          <w:lang w:val="fr-CA"/>
        </w:rPr>
        <w:t>.</w:t>
      </w:r>
      <w:r w:rsidR="00B14156">
        <w:rPr>
          <w:lang w:val="fr-CA"/>
        </w:rPr>
        <w:t>]</w:t>
      </w:r>
      <w:r w:rsidRPr="00266DE1">
        <w:rPr>
          <w:lang w:val="fr-CA"/>
        </w:rPr>
        <w:t xml:space="preserve"> [f]aire passer quelque chose d’un lieu à un autre</w:t>
      </w:r>
      <w:r w:rsidR="00B14156">
        <w:rPr>
          <w:lang w:val="fr-CA"/>
        </w:rPr>
        <w:t xml:space="preserve"> [. . .]</w:t>
      </w:r>
      <w:r w:rsidRPr="00266DE1">
        <w:rPr>
          <w:rStyle w:val="ssens"/>
          <w:rFonts w:eastAsiaTheme="majorEastAsia"/>
          <w:szCs w:val="24"/>
          <w:lang w:val="fr-CA"/>
        </w:rPr>
        <w:t xml:space="preserve"> </w:t>
      </w:r>
      <w:r w:rsidRPr="00266DE1">
        <w:rPr>
          <w:lang w:val="fr-CA"/>
        </w:rPr>
        <w:t>[f]aire</w:t>
      </w:r>
      <w:r w:rsidR="00B14156">
        <w:rPr>
          <w:lang w:val="fr-CA"/>
        </w:rPr>
        <w:t xml:space="preserve"> parvenir (un signal, une image</w:t>
      </w:r>
      <w:r w:rsidRPr="00266DE1">
        <w:rPr>
          <w:lang w:val="fr-CA"/>
        </w:rPr>
        <w:t>. . .) d’un lieu à un autre.</w:t>
      </w:r>
    </w:p>
    <w:p w:rsidR="00B77AA4" w:rsidRPr="00266DE1" w:rsidRDefault="00B77AA4" w:rsidP="00B77AA4">
      <w:pPr>
        <w:pStyle w:val="ParaNoNdepar-AltN"/>
        <w:numPr>
          <w:ilvl w:val="0"/>
          <w:numId w:val="0"/>
        </w:numPr>
        <w:rPr>
          <w:szCs w:val="24"/>
          <w:lang w:val="fr-CA"/>
        </w:rPr>
      </w:pPr>
      <w:r w:rsidRPr="00266DE1">
        <w:rPr>
          <w:szCs w:val="24"/>
          <w:lang w:val="fr-CA"/>
        </w:rPr>
        <w:t>Je ne vois pas pourquoi, eu égard au contexte, il faudrait écarter le chevauchement sémantique des deux mots.</w:t>
      </w:r>
    </w:p>
    <w:p w:rsidR="00B77AA4" w:rsidRPr="00266DE1" w:rsidRDefault="00B77AA4" w:rsidP="00B77AA4">
      <w:pPr>
        <w:pStyle w:val="ParaNoNdepar-AltN"/>
        <w:rPr>
          <w:rStyle w:val="ssens"/>
          <w:szCs w:val="24"/>
          <w:lang w:val="fr-CA"/>
        </w:rPr>
      </w:pPr>
      <w:r w:rsidRPr="00266DE1">
        <w:rPr>
          <w:rStyle w:val="ssens"/>
          <w:szCs w:val="24"/>
          <w:lang w:val="fr-CA"/>
        </w:rPr>
        <w:t>Nous l’avons vu, suivant l’art. 2 de la Loi, le mot « télécommunication » vise « </w:t>
      </w:r>
      <w:r w:rsidRPr="00266DE1">
        <w:rPr>
          <w:szCs w:val="24"/>
          <w:lang w:val="fr-CA"/>
        </w:rPr>
        <w:t>toute transmission de signes, signaux, écrits, images, sons ou renseignements de toute nature par fil, radio, procédé visuel ou optique, ou autre système électromagnétique ». La</w:t>
      </w:r>
      <w:r w:rsidRPr="00266DE1">
        <w:rPr>
          <w:lang w:val="fr-CA"/>
        </w:rPr>
        <w:t xml:space="preserve"> </w:t>
      </w:r>
      <w:r w:rsidRPr="00266DE1">
        <w:rPr>
          <w:rStyle w:val="ssens"/>
          <w:szCs w:val="24"/>
          <w:lang w:val="fr-CA"/>
        </w:rPr>
        <w:t>« </w:t>
      </w:r>
      <w:r w:rsidRPr="00266DE1">
        <w:rPr>
          <w:lang w:val="fr-CA"/>
        </w:rPr>
        <w:t>télécommunication</w:t>
      </w:r>
      <w:r w:rsidRPr="00266DE1">
        <w:rPr>
          <w:szCs w:val="24"/>
          <w:lang w:val="fr-CA"/>
        </w:rPr>
        <w:t> »</w:t>
      </w:r>
      <w:r w:rsidRPr="00266DE1">
        <w:rPr>
          <w:lang w:val="fr-CA"/>
        </w:rPr>
        <w:t xml:space="preserve"> s’entend donc de la transmission d’un quelconque objet par </w:t>
      </w:r>
      <w:r w:rsidRPr="00266DE1">
        <w:rPr>
          <w:szCs w:val="24"/>
          <w:lang w:val="fr-CA"/>
        </w:rPr>
        <w:t>système électromagnétique</w:t>
      </w:r>
      <w:r w:rsidRPr="00266DE1">
        <w:rPr>
          <w:lang w:val="fr-CA"/>
        </w:rPr>
        <w:t>.  L’emploi du préfixe « télé », qui signifie simplement « au loin, à distance », fait en sorte qu’il s’agit d’une communication à distance par un moyen prévu dans la Loi.  Il serait étrange que, dans celle</w:t>
      </w:r>
      <w:r w:rsidR="002F38C1">
        <w:rPr>
          <w:lang w:val="fr-CA"/>
        </w:rPr>
        <w:t>-</w:t>
      </w:r>
      <w:r w:rsidRPr="00266DE1">
        <w:rPr>
          <w:lang w:val="fr-CA"/>
        </w:rPr>
        <w:t xml:space="preserve">ci, « télécommunication » et transmission par </w:t>
      </w:r>
      <w:r w:rsidRPr="00266DE1">
        <w:rPr>
          <w:szCs w:val="24"/>
          <w:lang w:val="fr-CA"/>
        </w:rPr>
        <w:t>système électromagnétique</w:t>
      </w:r>
      <w:r w:rsidRPr="00266DE1">
        <w:rPr>
          <w:lang w:val="fr-CA"/>
        </w:rPr>
        <w:t xml:space="preserve"> soient interchangeables, mais pas « communiquer » et « transmettre ».  L’interprétation la plus évidente voudrait que, pour l’application de l’al. 3(1)</w:t>
      </w:r>
      <w:r w:rsidRPr="00266DE1">
        <w:rPr>
          <w:i/>
          <w:lang w:val="fr-CA"/>
        </w:rPr>
        <w:t>f</w:t>
      </w:r>
      <w:r w:rsidRPr="00266DE1">
        <w:rPr>
          <w:lang w:val="fr-CA"/>
        </w:rPr>
        <w:t xml:space="preserve">) de la Loi, le droit exclusif du titulaire du droit d’auteur de communiquer son œuvre au public par télécommunication corresponde simplement au droit de la transmettre au public par </w:t>
      </w:r>
      <w:r w:rsidRPr="00266DE1">
        <w:rPr>
          <w:szCs w:val="24"/>
          <w:lang w:val="fr-CA"/>
        </w:rPr>
        <w:t>système électromagnétique</w:t>
      </w:r>
      <w:r w:rsidRPr="00266DE1">
        <w:rPr>
          <w:lang w:val="fr-CA"/>
        </w:rPr>
        <w:t xml:space="preserve">, dont Internet.  </w:t>
      </w:r>
    </w:p>
    <w:p w:rsidR="00B77AA4" w:rsidRPr="00266DE1" w:rsidRDefault="00B77AA4" w:rsidP="00B77AA4">
      <w:pPr>
        <w:pStyle w:val="ParaNoNdepar-AltN"/>
        <w:rPr>
          <w:rStyle w:val="ssens"/>
          <w:szCs w:val="24"/>
          <w:lang w:val="fr-CA"/>
        </w:rPr>
      </w:pPr>
      <w:r w:rsidRPr="00266DE1">
        <w:rPr>
          <w:rStyle w:val="ssens"/>
          <w:szCs w:val="24"/>
          <w:lang w:val="fr-CA"/>
        </w:rPr>
        <w:t>Les définitions susmentionnées des mots « communiquer » et « transmettre » et le contexte dans lequel ceux</w:t>
      </w:r>
      <w:r w:rsidR="002F38C1">
        <w:rPr>
          <w:rStyle w:val="ssens"/>
          <w:szCs w:val="24"/>
          <w:lang w:val="fr-CA"/>
        </w:rPr>
        <w:t>-</w:t>
      </w:r>
      <w:r w:rsidRPr="00266DE1">
        <w:rPr>
          <w:rStyle w:val="ssens"/>
          <w:szCs w:val="24"/>
          <w:lang w:val="fr-CA"/>
        </w:rPr>
        <w:t>ci sont employés dans la Loi n’appuient pas la conclusion d’ESA selon laquelle, à l’al. 3(1)</w:t>
      </w:r>
      <w:r w:rsidRPr="00266DE1">
        <w:rPr>
          <w:rStyle w:val="ssens"/>
          <w:i/>
          <w:szCs w:val="24"/>
          <w:lang w:val="fr-CA"/>
        </w:rPr>
        <w:t>f</w:t>
      </w:r>
      <w:r w:rsidRPr="00266DE1">
        <w:rPr>
          <w:rStyle w:val="ssens"/>
          <w:szCs w:val="24"/>
          <w:lang w:val="fr-CA"/>
        </w:rPr>
        <w:t xml:space="preserve">), « communiquer » </w:t>
      </w:r>
      <w:r w:rsidRPr="00266DE1">
        <w:rPr>
          <w:rStyle w:val="ssens"/>
          <w:szCs w:val="24"/>
          <w:lang w:val="fr-CA"/>
        </w:rPr>
        <w:lastRenderedPageBreak/>
        <w:t xml:space="preserve">s’entend forcément de faire parvenir une </w:t>
      </w:r>
      <w:r w:rsidRPr="00266DE1">
        <w:rPr>
          <w:lang w:val="fr-CA"/>
        </w:rPr>
        <w:t xml:space="preserve">information sous une forme perceptible par l’être humain à une autre personne pour écoute ou visualisation </w:t>
      </w:r>
      <w:r w:rsidRPr="00266DE1">
        <w:rPr>
          <w:i/>
          <w:lang w:val="fr-CA"/>
        </w:rPr>
        <w:t>immédiates</w:t>
      </w:r>
      <w:r w:rsidRPr="00266DE1">
        <w:rPr>
          <w:lang w:val="fr-CA"/>
        </w:rPr>
        <w:t>.</w:t>
      </w:r>
      <w:r w:rsidRPr="00266DE1">
        <w:rPr>
          <w:rStyle w:val="ssens"/>
          <w:szCs w:val="24"/>
          <w:lang w:val="fr-CA"/>
        </w:rPr>
        <w:t xml:space="preserve">  À supposer même que communiquer consiste à faire passer une idée, rien n’exige que l’idée soit perçue et entendue </w:t>
      </w:r>
      <w:r w:rsidRPr="00266DE1">
        <w:rPr>
          <w:rStyle w:val="ssens"/>
          <w:i/>
          <w:szCs w:val="24"/>
          <w:lang w:val="fr-CA"/>
        </w:rPr>
        <w:t>immédiatement</w:t>
      </w:r>
      <w:r w:rsidRPr="00266DE1">
        <w:rPr>
          <w:rStyle w:val="ssens"/>
          <w:szCs w:val="24"/>
          <w:lang w:val="fr-CA"/>
        </w:rPr>
        <w:t>.</w:t>
      </w:r>
    </w:p>
    <w:p w:rsidR="00B77AA4" w:rsidRPr="00266DE1" w:rsidRDefault="00B77AA4" w:rsidP="00B77AA4">
      <w:pPr>
        <w:pStyle w:val="ParaNoNdepar-AltN"/>
        <w:rPr>
          <w:rStyle w:val="ssens"/>
          <w:szCs w:val="24"/>
          <w:lang w:val="fr-CA"/>
        </w:rPr>
      </w:pPr>
      <w:r w:rsidRPr="00266DE1">
        <w:rPr>
          <w:rStyle w:val="ssens"/>
          <w:szCs w:val="24"/>
          <w:lang w:val="fr-CA"/>
        </w:rPr>
        <w:t>ESA fonde essentiellement sur l’al. 2.4(1)</w:t>
      </w:r>
      <w:r w:rsidRPr="00266DE1">
        <w:rPr>
          <w:rStyle w:val="ssens"/>
          <w:i/>
          <w:szCs w:val="24"/>
          <w:lang w:val="fr-CA"/>
        </w:rPr>
        <w:t>c</w:t>
      </w:r>
      <w:r w:rsidRPr="00266DE1">
        <w:rPr>
          <w:rStyle w:val="ssens"/>
          <w:szCs w:val="24"/>
          <w:lang w:val="fr-CA"/>
        </w:rPr>
        <w:t xml:space="preserve">) sa thèse voulant que « transmettre » et « communiquer » doivent forcément correspondre à des actes différents.  Voici le libellé de la disposition : </w:t>
      </w:r>
    </w:p>
    <w:p w:rsidR="00B77AA4" w:rsidRPr="00266DE1" w:rsidRDefault="00B77AA4" w:rsidP="00B14156">
      <w:pPr>
        <w:pStyle w:val="Citation-AltC"/>
        <w:tabs>
          <w:tab w:val="left" w:pos="1620"/>
        </w:tabs>
        <w:spacing w:after="240"/>
        <w:ind w:hanging="1166"/>
        <w:contextualSpacing w:val="0"/>
        <w:rPr>
          <w:szCs w:val="24"/>
          <w:lang w:val="fr-CA"/>
        </w:rPr>
      </w:pPr>
      <w:r w:rsidRPr="00220E17">
        <w:rPr>
          <w:rStyle w:val="sectionlabel1"/>
          <w:szCs w:val="24"/>
          <w:lang w:val="fr-CA"/>
        </w:rPr>
        <w:tab/>
      </w:r>
      <w:r w:rsidR="00B14156" w:rsidRPr="00220E17">
        <w:rPr>
          <w:rStyle w:val="sectionlabel1"/>
          <w:szCs w:val="24"/>
          <w:lang w:val="fr-CA"/>
        </w:rPr>
        <w:tab/>
      </w:r>
      <w:r w:rsidRPr="00EF56E4">
        <w:rPr>
          <w:rStyle w:val="sectionlabel1"/>
          <w:szCs w:val="24"/>
          <w:lang w:val="fr-CA"/>
        </w:rPr>
        <w:t>2.4</w:t>
      </w:r>
      <w:r w:rsidRPr="00266DE1">
        <w:rPr>
          <w:szCs w:val="24"/>
          <w:lang w:val="fr-CA"/>
        </w:rPr>
        <w:t> (1) Les règles qui suivent s’appliquent dans les cas de communication au public par télécommunication :</w:t>
      </w:r>
    </w:p>
    <w:p w:rsidR="00B77AA4" w:rsidRPr="00266DE1" w:rsidRDefault="00B77AA4" w:rsidP="00B77AA4">
      <w:pPr>
        <w:pStyle w:val="Citation-AltC"/>
        <w:spacing w:after="240"/>
        <w:contextualSpacing w:val="0"/>
        <w:jc w:val="center"/>
        <w:rPr>
          <w:szCs w:val="24"/>
          <w:lang w:val="fr-CA"/>
        </w:rPr>
      </w:pPr>
      <w:r w:rsidRPr="00266DE1">
        <w:rPr>
          <w:szCs w:val="24"/>
          <w:lang w:val="fr-CA"/>
        </w:rPr>
        <w:t>. . .</w:t>
      </w:r>
    </w:p>
    <w:p w:rsidR="00B77AA4" w:rsidRPr="00B14156" w:rsidRDefault="00B77AA4" w:rsidP="00B14156">
      <w:pPr>
        <w:pStyle w:val="Citation-AltC"/>
        <w:tabs>
          <w:tab w:val="left" w:pos="2070"/>
        </w:tabs>
        <w:ind w:left="1627" w:hanging="1627"/>
        <w:contextualSpacing w:val="0"/>
        <w:rPr>
          <w:szCs w:val="24"/>
          <w:lang w:val="fr-CA"/>
        </w:rPr>
      </w:pPr>
      <w:r w:rsidRPr="00266DE1">
        <w:rPr>
          <w:rStyle w:val="Emphasis"/>
          <w:szCs w:val="24"/>
          <w:lang w:val="fr-CA"/>
        </w:rPr>
        <w:tab/>
        <w:t>c</w:t>
      </w:r>
      <w:r w:rsidRPr="00266DE1">
        <w:rPr>
          <w:szCs w:val="24"/>
          <w:lang w:val="fr-CA"/>
        </w:rPr>
        <w:t>)</w:t>
      </w:r>
      <w:r w:rsidR="00B14156">
        <w:rPr>
          <w:szCs w:val="24"/>
          <w:lang w:val="fr-CA"/>
        </w:rPr>
        <w:tab/>
      </w:r>
      <w:r w:rsidRPr="00266DE1">
        <w:rPr>
          <w:szCs w:val="24"/>
          <w:u w:val="single"/>
          <w:lang w:val="fr-CA"/>
        </w:rPr>
        <w:t>toute transmission par une personne par télécommunication, communiquée au public par une autre</w:t>
      </w:r>
      <w:r w:rsidRPr="00266DE1">
        <w:rPr>
          <w:szCs w:val="24"/>
          <w:lang w:val="fr-CA"/>
        </w:rPr>
        <w:t xml:space="preserve"> — sauf le retransmetteur d’un signal, au sens du paragraphe 31(1) — constitue une communication unique au public, ces personnes étant en l’occurrence solidaires,</w:t>
      </w:r>
      <w:r w:rsidR="00B14156">
        <w:rPr>
          <w:szCs w:val="24"/>
          <w:lang w:val="fr-CA"/>
        </w:rPr>
        <w:t xml:space="preserve"> </w:t>
      </w:r>
      <w:r w:rsidRPr="00266DE1">
        <w:rPr>
          <w:szCs w:val="24"/>
          <w:lang w:val="fr-CA"/>
        </w:rPr>
        <w:t xml:space="preserve">dès lors qu’elle s’effectue par suite de l’exploitation même d’un réseau au sens de la </w:t>
      </w:r>
      <w:r w:rsidRPr="00266DE1">
        <w:rPr>
          <w:i/>
          <w:szCs w:val="24"/>
          <w:lang w:val="fr-CA"/>
        </w:rPr>
        <w:t>Loi sur la radiodiffusion</w:t>
      </w:r>
      <w:r w:rsidRPr="00266DE1">
        <w:rPr>
          <w:szCs w:val="24"/>
          <w:lang w:val="fr-CA"/>
        </w:rPr>
        <w:t xml:space="preserve"> ou d’une entreprise de programmation.</w:t>
      </w:r>
    </w:p>
    <w:p w:rsidR="00B77AA4" w:rsidRPr="00266DE1" w:rsidRDefault="00B77AA4" w:rsidP="00B77AA4">
      <w:pPr>
        <w:pStyle w:val="ParaNoNdepar-AltN"/>
        <w:rPr>
          <w:rStyle w:val="ssens"/>
          <w:szCs w:val="24"/>
          <w:lang w:val="fr-CA"/>
        </w:rPr>
      </w:pPr>
      <w:r w:rsidRPr="00266DE1">
        <w:rPr>
          <w:rStyle w:val="ssens"/>
          <w:szCs w:val="24"/>
          <w:lang w:val="fr-CA"/>
        </w:rPr>
        <w:t>ESA soutient que les notions de « transmission » et de « communication » y figurent l’une et l’autre un certain nombre de fois, de sorte qu’elles doivent avoir des sens différents.  Elle avance que la transmission consiste seulement dans l’action de faire parvenir ou de recevoir les informations ou les données en cause, que la « communication » intervient après la transmission et que, dès lors, la différence tient à ce que la transmission ne consiste pas à faire passer une information sous une forme perceptible par l’être humain.  La transmission ne serait donc pas visée à l’al. 3(1)</w:t>
      </w:r>
      <w:r w:rsidRPr="00266DE1">
        <w:rPr>
          <w:rStyle w:val="ssens"/>
          <w:i/>
          <w:szCs w:val="24"/>
          <w:lang w:val="fr-CA"/>
        </w:rPr>
        <w:t>f</w:t>
      </w:r>
      <w:r w:rsidRPr="00266DE1">
        <w:rPr>
          <w:rStyle w:val="ssens"/>
          <w:szCs w:val="24"/>
          <w:lang w:val="fr-CA"/>
        </w:rPr>
        <w:t xml:space="preserve">), </w:t>
      </w:r>
      <w:r w:rsidRPr="00266DE1">
        <w:rPr>
          <w:rStyle w:val="ssens"/>
          <w:szCs w:val="24"/>
          <w:lang w:val="fr-CA"/>
        </w:rPr>
        <w:lastRenderedPageBreak/>
        <w:t>car le législateur y emploie le verbe communiquer, qui suppose au contraire de faire passer une information sous une forme perceptible par l’être humain.  Par conséquent, puisqu’il n’y a communication qu’après la transmission, le téléchargement ne donne droit à aucune redevance sur le fondement de l’al. 3(1)</w:t>
      </w:r>
      <w:r w:rsidRPr="00266DE1">
        <w:rPr>
          <w:rStyle w:val="ssens"/>
          <w:i/>
          <w:szCs w:val="24"/>
          <w:lang w:val="fr-CA"/>
        </w:rPr>
        <w:t>f</w:t>
      </w:r>
      <w:r w:rsidRPr="00266DE1">
        <w:rPr>
          <w:rStyle w:val="ssens"/>
          <w:szCs w:val="24"/>
          <w:lang w:val="fr-CA"/>
        </w:rPr>
        <w:t xml:space="preserve">).  </w:t>
      </w:r>
    </w:p>
    <w:p w:rsidR="00B77AA4" w:rsidRPr="00266DE1" w:rsidRDefault="00B77AA4" w:rsidP="00B77AA4">
      <w:pPr>
        <w:pStyle w:val="ParaNoNdepar-AltN"/>
        <w:rPr>
          <w:rStyle w:val="ssens"/>
          <w:szCs w:val="24"/>
          <w:lang w:val="fr-CA"/>
        </w:rPr>
      </w:pPr>
      <w:r w:rsidRPr="00266DE1">
        <w:rPr>
          <w:rStyle w:val="ssens"/>
          <w:szCs w:val="24"/>
          <w:lang w:val="fr-CA"/>
        </w:rPr>
        <w:t>La thèse d’ESA ne tient pas compte du contexte et de l’objet de l’al. 2.4(1)</w:t>
      </w:r>
      <w:r w:rsidRPr="00266DE1">
        <w:rPr>
          <w:rStyle w:val="ssens"/>
          <w:i/>
          <w:szCs w:val="24"/>
          <w:lang w:val="fr-CA"/>
        </w:rPr>
        <w:t>c</w:t>
      </w:r>
      <w:r w:rsidRPr="00266DE1">
        <w:rPr>
          <w:rStyle w:val="ssens"/>
          <w:szCs w:val="24"/>
          <w:lang w:val="fr-CA"/>
        </w:rPr>
        <w:t xml:space="preserve">), une disposition adoptée en 1988 pour contrer l’arrêt </w:t>
      </w:r>
      <w:proofErr w:type="spellStart"/>
      <w:r w:rsidRPr="00266DE1">
        <w:rPr>
          <w:rStyle w:val="ssens"/>
          <w:i/>
          <w:szCs w:val="24"/>
          <w:lang w:val="fr-CA"/>
        </w:rPr>
        <w:t>Composers</w:t>
      </w:r>
      <w:proofErr w:type="spellEnd"/>
      <w:r w:rsidRPr="00266DE1">
        <w:rPr>
          <w:rStyle w:val="ssens"/>
          <w:i/>
          <w:szCs w:val="24"/>
          <w:lang w:val="fr-CA"/>
        </w:rPr>
        <w:t xml:space="preserve">, </w:t>
      </w:r>
      <w:proofErr w:type="spellStart"/>
      <w:r w:rsidRPr="00266DE1">
        <w:rPr>
          <w:rStyle w:val="ssens"/>
          <w:i/>
          <w:szCs w:val="24"/>
          <w:lang w:val="fr-CA"/>
        </w:rPr>
        <w:t>Authors</w:t>
      </w:r>
      <w:proofErr w:type="spellEnd"/>
      <w:r w:rsidRPr="00266DE1">
        <w:rPr>
          <w:rStyle w:val="ssens"/>
          <w:i/>
          <w:szCs w:val="24"/>
          <w:lang w:val="fr-CA"/>
        </w:rPr>
        <w:t xml:space="preserve"> and </w:t>
      </w:r>
      <w:proofErr w:type="spellStart"/>
      <w:r w:rsidRPr="00266DE1">
        <w:rPr>
          <w:rStyle w:val="ssens"/>
          <w:i/>
          <w:szCs w:val="24"/>
          <w:lang w:val="fr-CA"/>
        </w:rPr>
        <w:t>Publishers</w:t>
      </w:r>
      <w:proofErr w:type="spellEnd"/>
      <w:r w:rsidRPr="00266DE1">
        <w:rPr>
          <w:rStyle w:val="ssens"/>
          <w:i/>
          <w:szCs w:val="24"/>
          <w:lang w:val="fr-CA"/>
        </w:rPr>
        <w:t xml:space="preserve"> </w:t>
      </w:r>
      <w:proofErr w:type="spellStart"/>
      <w:r w:rsidRPr="00266DE1">
        <w:rPr>
          <w:rStyle w:val="ssens"/>
          <w:i/>
          <w:szCs w:val="24"/>
          <w:lang w:val="fr-CA"/>
        </w:rPr>
        <w:t>Ass</w:t>
      </w:r>
      <w:r w:rsidR="00A451C4">
        <w:rPr>
          <w:rStyle w:val="ssens"/>
          <w:i/>
          <w:szCs w:val="24"/>
          <w:lang w:val="fr-CA"/>
        </w:rPr>
        <w:t>oc</w:t>
      </w:r>
      <w:proofErr w:type="spellEnd"/>
      <w:r w:rsidRPr="00266DE1">
        <w:rPr>
          <w:rStyle w:val="ssens"/>
          <w:i/>
          <w:szCs w:val="24"/>
          <w:lang w:val="fr-CA"/>
        </w:rPr>
        <w:t xml:space="preserve">. of Canada Ltd. c. CTV </w:t>
      </w:r>
      <w:proofErr w:type="spellStart"/>
      <w:r w:rsidRPr="00266DE1">
        <w:rPr>
          <w:rStyle w:val="ssens"/>
          <w:i/>
          <w:szCs w:val="24"/>
          <w:lang w:val="fr-CA"/>
        </w:rPr>
        <w:t>Television</w:t>
      </w:r>
      <w:proofErr w:type="spellEnd"/>
      <w:r w:rsidRPr="00266DE1">
        <w:rPr>
          <w:rStyle w:val="ssens"/>
          <w:i/>
          <w:szCs w:val="24"/>
          <w:lang w:val="fr-CA"/>
        </w:rPr>
        <w:t xml:space="preserve"> Network Ltd.</w:t>
      </w:r>
      <w:r w:rsidRPr="00266DE1">
        <w:rPr>
          <w:rStyle w:val="ssens"/>
          <w:szCs w:val="24"/>
          <w:lang w:val="fr-CA"/>
        </w:rPr>
        <w:t>, [1968] R.C.S. 676 (« </w:t>
      </w:r>
      <w:r w:rsidRPr="00266DE1">
        <w:rPr>
          <w:rStyle w:val="ssens"/>
          <w:i/>
          <w:szCs w:val="24"/>
          <w:lang w:val="fr-CA"/>
        </w:rPr>
        <w:t>CAPAC </w:t>
      </w:r>
      <w:r w:rsidRPr="00266DE1">
        <w:rPr>
          <w:rStyle w:val="ssens"/>
          <w:szCs w:val="24"/>
          <w:lang w:val="fr-CA"/>
        </w:rPr>
        <w:t>»).  La Cour avait en effet statué que la transmission d’émissions par CTV à ses sta</w:t>
      </w:r>
      <w:r w:rsidR="003B1184">
        <w:rPr>
          <w:rStyle w:val="ssens"/>
          <w:szCs w:val="24"/>
          <w:lang w:val="fr-CA"/>
        </w:rPr>
        <w:t>tions affiliées afin que celles-</w:t>
      </w:r>
      <w:r w:rsidRPr="00266DE1">
        <w:rPr>
          <w:rStyle w:val="ssens"/>
          <w:szCs w:val="24"/>
          <w:lang w:val="fr-CA"/>
        </w:rPr>
        <w:t>ci les diffusent à leur tour au public échappait au droit exclusif de communication au public reconnu à l’al. 3(1)</w:t>
      </w:r>
      <w:r w:rsidRPr="00266DE1">
        <w:rPr>
          <w:rStyle w:val="ssens"/>
          <w:i/>
          <w:szCs w:val="24"/>
          <w:lang w:val="fr-CA"/>
        </w:rPr>
        <w:t>f</w:t>
      </w:r>
      <w:r w:rsidRPr="00266DE1">
        <w:rPr>
          <w:rStyle w:val="ssens"/>
          <w:szCs w:val="24"/>
          <w:lang w:val="fr-CA"/>
        </w:rPr>
        <w:t xml:space="preserve">) au motif que cette transmission demeurait dans le domaine </w:t>
      </w:r>
      <w:r w:rsidRPr="00B14156">
        <w:rPr>
          <w:rStyle w:val="ssens"/>
          <w:szCs w:val="24"/>
          <w:lang w:val="fr-CA"/>
        </w:rPr>
        <w:t xml:space="preserve">privé </w:t>
      </w:r>
      <w:r w:rsidRPr="00266DE1">
        <w:rPr>
          <w:rStyle w:val="ssens"/>
          <w:szCs w:val="24"/>
          <w:lang w:val="fr-CA"/>
        </w:rPr>
        <w:t>(voir J. S. </w:t>
      </w:r>
      <w:proofErr w:type="spellStart"/>
      <w:r w:rsidRPr="00266DE1">
        <w:rPr>
          <w:rStyle w:val="ssens"/>
          <w:szCs w:val="24"/>
          <w:lang w:val="fr-CA"/>
        </w:rPr>
        <w:t>McKeown</w:t>
      </w:r>
      <w:proofErr w:type="spellEnd"/>
      <w:r w:rsidRPr="00266DE1">
        <w:rPr>
          <w:rStyle w:val="ssens"/>
          <w:szCs w:val="24"/>
          <w:lang w:val="fr-CA"/>
        </w:rPr>
        <w:t xml:space="preserve">, </w:t>
      </w:r>
      <w:r w:rsidRPr="00266DE1">
        <w:rPr>
          <w:rStyle w:val="ssens"/>
          <w:i/>
          <w:szCs w:val="24"/>
          <w:lang w:val="fr-CA"/>
        </w:rPr>
        <w:t xml:space="preserve">Fox on Canadian Law of Copyright and </w:t>
      </w:r>
      <w:proofErr w:type="spellStart"/>
      <w:r w:rsidRPr="00266DE1">
        <w:rPr>
          <w:rStyle w:val="ssens"/>
          <w:i/>
          <w:szCs w:val="24"/>
          <w:lang w:val="fr-CA"/>
        </w:rPr>
        <w:t>Industrial</w:t>
      </w:r>
      <w:proofErr w:type="spellEnd"/>
      <w:r w:rsidRPr="00266DE1">
        <w:rPr>
          <w:rStyle w:val="ssens"/>
          <w:i/>
          <w:szCs w:val="24"/>
          <w:lang w:val="fr-CA"/>
        </w:rPr>
        <w:t xml:space="preserve"> Designs</w:t>
      </w:r>
      <w:r w:rsidRPr="00266DE1">
        <w:rPr>
          <w:rStyle w:val="ssens"/>
          <w:szCs w:val="24"/>
          <w:lang w:val="fr-CA"/>
        </w:rPr>
        <w:t xml:space="preserve"> (4</w:t>
      </w:r>
      <w:r w:rsidRPr="00266DE1">
        <w:rPr>
          <w:rStyle w:val="ssens"/>
          <w:szCs w:val="24"/>
          <w:vertAlign w:val="superscript"/>
          <w:lang w:val="fr-CA"/>
        </w:rPr>
        <w:t>e</w:t>
      </w:r>
      <w:r w:rsidRPr="00266DE1">
        <w:rPr>
          <w:rStyle w:val="ssens"/>
          <w:szCs w:val="24"/>
          <w:lang w:val="fr-CA"/>
        </w:rPr>
        <w:t xml:space="preserve"> éd. </w:t>
      </w:r>
      <w:r w:rsidR="00B14156">
        <w:rPr>
          <w:rStyle w:val="ssens"/>
          <w:szCs w:val="24"/>
          <w:lang w:val="fr-CA"/>
        </w:rPr>
        <w:t>(</w:t>
      </w:r>
      <w:r w:rsidRPr="00266DE1">
        <w:rPr>
          <w:rStyle w:val="ssens"/>
          <w:szCs w:val="24"/>
          <w:lang w:val="fr-CA"/>
        </w:rPr>
        <w:t>feuilles mobiles)</w:t>
      </w:r>
      <w:r w:rsidR="00B14156">
        <w:rPr>
          <w:rStyle w:val="ssens"/>
          <w:szCs w:val="24"/>
          <w:lang w:val="fr-CA"/>
        </w:rPr>
        <w:t>)</w:t>
      </w:r>
      <w:r w:rsidR="003B1184">
        <w:rPr>
          <w:rStyle w:val="ssens"/>
          <w:szCs w:val="24"/>
          <w:lang w:val="fr-CA"/>
        </w:rPr>
        <w:t>, p. 21-</w:t>
      </w:r>
      <w:r w:rsidRPr="00266DE1">
        <w:rPr>
          <w:rStyle w:val="ssens"/>
          <w:szCs w:val="24"/>
          <w:lang w:val="fr-CA"/>
        </w:rPr>
        <w:t>90).  Dans le contexte de l’al. 2.4(1)</w:t>
      </w:r>
      <w:r w:rsidRPr="00266DE1">
        <w:rPr>
          <w:rStyle w:val="ssens"/>
          <w:i/>
          <w:szCs w:val="24"/>
          <w:lang w:val="fr-CA"/>
        </w:rPr>
        <w:t>c</w:t>
      </w:r>
      <w:r w:rsidRPr="00266DE1">
        <w:rPr>
          <w:rStyle w:val="ssens"/>
          <w:szCs w:val="24"/>
          <w:lang w:val="fr-CA"/>
        </w:rPr>
        <w:t>), « transmission » renvoie à l’acheminement de l’œuvre au sein d’un réseau ou d’une entreprise de programmation avant qu’elle ne parvienne au public, alors que « </w:t>
      </w:r>
      <w:proofErr w:type="spellStart"/>
      <w:proofErr w:type="gramStart"/>
      <w:r w:rsidRPr="00266DE1">
        <w:rPr>
          <w:rStyle w:val="ssens"/>
          <w:szCs w:val="24"/>
          <w:lang w:val="fr-CA"/>
        </w:rPr>
        <w:t>communiqu</w:t>
      </w:r>
      <w:proofErr w:type="spellEnd"/>
      <w:r w:rsidR="00B14156">
        <w:rPr>
          <w:rStyle w:val="ssens"/>
          <w:szCs w:val="24"/>
          <w:lang w:val="fr-CA"/>
        </w:rPr>
        <w:t>[</w:t>
      </w:r>
      <w:proofErr w:type="gramEnd"/>
      <w:r w:rsidRPr="00266DE1">
        <w:rPr>
          <w:rStyle w:val="ssens"/>
          <w:szCs w:val="24"/>
          <w:lang w:val="fr-CA"/>
        </w:rPr>
        <w:t>er</w:t>
      </w:r>
      <w:r w:rsidR="00B14156">
        <w:rPr>
          <w:rStyle w:val="ssens"/>
          <w:szCs w:val="24"/>
          <w:lang w:val="fr-CA"/>
        </w:rPr>
        <w:t>]</w:t>
      </w:r>
      <w:r w:rsidRPr="00266DE1">
        <w:rPr>
          <w:rStyle w:val="ssens"/>
          <w:szCs w:val="24"/>
          <w:lang w:val="fr-CA"/>
        </w:rPr>
        <w:t> » s’entend de faire parvenir l’œuvre « au public » par une autre personne au sein du réseau ou de l’entrepri</w:t>
      </w:r>
      <w:r w:rsidR="00FA4F22">
        <w:rPr>
          <w:rStyle w:val="ssens"/>
          <w:szCs w:val="24"/>
          <w:lang w:val="fr-CA"/>
        </w:rPr>
        <w:t>se de programmation.  Sans l’alinéa</w:t>
      </w:r>
      <w:r w:rsidRPr="00266DE1">
        <w:rPr>
          <w:rStyle w:val="ssens"/>
          <w:szCs w:val="24"/>
          <w:lang w:val="fr-CA"/>
        </w:rPr>
        <w:t> 2.4(1)</w:t>
      </w:r>
      <w:r w:rsidRPr="00266DE1">
        <w:rPr>
          <w:rStyle w:val="ssens"/>
          <w:i/>
          <w:szCs w:val="24"/>
          <w:lang w:val="fr-CA"/>
        </w:rPr>
        <w:t>c</w:t>
      </w:r>
      <w:r w:rsidRPr="00266DE1">
        <w:rPr>
          <w:rStyle w:val="ssens"/>
          <w:szCs w:val="24"/>
          <w:lang w:val="fr-CA"/>
        </w:rPr>
        <w:t xml:space="preserve">), seule la seconde opération, celle qui consiste à </w:t>
      </w:r>
      <w:r w:rsidRPr="00B14156">
        <w:rPr>
          <w:rStyle w:val="ssens"/>
          <w:szCs w:val="24"/>
          <w:lang w:val="fr-CA"/>
        </w:rPr>
        <w:t>communiquer au public</w:t>
      </w:r>
      <w:r w:rsidRPr="00266DE1">
        <w:rPr>
          <w:rStyle w:val="ssens"/>
          <w:szCs w:val="24"/>
          <w:lang w:val="fr-CA"/>
        </w:rPr>
        <w:t>, emporterait l’application de l’al. 3(1)</w:t>
      </w:r>
      <w:r w:rsidRPr="00266DE1">
        <w:rPr>
          <w:rStyle w:val="ssens"/>
          <w:i/>
          <w:szCs w:val="24"/>
          <w:lang w:val="fr-CA"/>
        </w:rPr>
        <w:t>f</w:t>
      </w:r>
      <w:r w:rsidRPr="00B14156">
        <w:rPr>
          <w:rStyle w:val="ssens"/>
          <w:szCs w:val="24"/>
          <w:lang w:val="fr-CA"/>
        </w:rPr>
        <w:t>)</w:t>
      </w:r>
      <w:r w:rsidRPr="00266DE1">
        <w:rPr>
          <w:rStyle w:val="ssens"/>
          <w:szCs w:val="24"/>
          <w:lang w:val="fr-CA"/>
        </w:rPr>
        <w:t xml:space="preserve">, et la </w:t>
      </w:r>
      <w:r w:rsidRPr="00B14156">
        <w:rPr>
          <w:rStyle w:val="ssens"/>
          <w:szCs w:val="24"/>
          <w:lang w:val="fr-CA"/>
        </w:rPr>
        <w:t>transmission privée entre personnes d’un même groupe</w:t>
      </w:r>
      <w:r w:rsidRPr="00266DE1">
        <w:rPr>
          <w:rStyle w:val="ssens"/>
          <w:szCs w:val="24"/>
          <w:lang w:val="fr-CA"/>
        </w:rPr>
        <w:t xml:space="preserve"> échapperait à l’application du droit d’auteur.  Lorsqu’il s’applique, l’al. 2.4(1)</w:t>
      </w:r>
      <w:r w:rsidRPr="00266DE1">
        <w:rPr>
          <w:rStyle w:val="ssens"/>
          <w:i/>
          <w:szCs w:val="24"/>
          <w:lang w:val="fr-CA"/>
        </w:rPr>
        <w:t>c</w:t>
      </w:r>
      <w:r w:rsidRPr="00266DE1">
        <w:rPr>
          <w:rStyle w:val="ssens"/>
          <w:szCs w:val="24"/>
          <w:lang w:val="fr-CA"/>
        </w:rPr>
        <w:t xml:space="preserve">) fait de la transmission et de la communication une communication unique au public.  Par </w:t>
      </w:r>
      <w:r w:rsidRPr="00266DE1">
        <w:rPr>
          <w:rStyle w:val="ssens"/>
          <w:szCs w:val="24"/>
          <w:lang w:val="fr-CA"/>
        </w:rPr>
        <w:lastRenderedPageBreak/>
        <w:t>conséquent, la personne qui transmet l’œuvre et celle qui la communique au public sont solidairement responsables de la communication au public.</w:t>
      </w:r>
    </w:p>
    <w:p w:rsidR="00B77AA4" w:rsidRPr="00266DE1" w:rsidRDefault="00B77AA4" w:rsidP="00B77AA4">
      <w:pPr>
        <w:pStyle w:val="ParaNoNdepar-AltN"/>
        <w:rPr>
          <w:rStyle w:val="ssens"/>
          <w:szCs w:val="24"/>
          <w:lang w:val="fr-CA"/>
        </w:rPr>
      </w:pPr>
      <w:r w:rsidRPr="00266DE1">
        <w:rPr>
          <w:rStyle w:val="ssens"/>
          <w:szCs w:val="24"/>
          <w:lang w:val="fr-CA"/>
        </w:rPr>
        <w:t>On peut seulement conclure de l’al. 2.4(1)</w:t>
      </w:r>
      <w:r w:rsidRPr="00266DE1">
        <w:rPr>
          <w:rStyle w:val="ssens"/>
          <w:i/>
          <w:szCs w:val="24"/>
          <w:lang w:val="fr-CA"/>
        </w:rPr>
        <w:t>c</w:t>
      </w:r>
      <w:r w:rsidRPr="00266DE1">
        <w:rPr>
          <w:rStyle w:val="ssens"/>
          <w:szCs w:val="24"/>
          <w:lang w:val="fr-CA"/>
        </w:rPr>
        <w:t>) que l’expression « communication au public » renvoie au cas où il y a protection du droit d’auteur, et non que le terme « communication » s’entend du transfert d’informations sous une forme perceptible par l’être humain.  Par contre, le verbe « transmettre » et le substantif « transmission » renvoient à la situation qui ne fait pas intervenir la protection du droit d’auteur prévue à l’al. 3(1)</w:t>
      </w:r>
      <w:r w:rsidRPr="00266DE1">
        <w:rPr>
          <w:rStyle w:val="ssens"/>
          <w:i/>
          <w:szCs w:val="24"/>
          <w:lang w:val="fr-CA"/>
        </w:rPr>
        <w:t>f</w:t>
      </w:r>
      <w:r w:rsidRPr="00266DE1">
        <w:rPr>
          <w:rStyle w:val="ssens"/>
          <w:szCs w:val="24"/>
          <w:lang w:val="fr-CA"/>
        </w:rPr>
        <w:t>).  Je conviens avec ESA que l’al. 2.4(1)</w:t>
      </w:r>
      <w:r w:rsidRPr="00266DE1">
        <w:rPr>
          <w:rStyle w:val="ssens"/>
          <w:i/>
          <w:szCs w:val="24"/>
          <w:lang w:val="fr-CA"/>
        </w:rPr>
        <w:t>c</w:t>
      </w:r>
      <w:r w:rsidRPr="00266DE1">
        <w:rPr>
          <w:rStyle w:val="ssens"/>
          <w:szCs w:val="24"/>
          <w:lang w:val="fr-CA"/>
        </w:rPr>
        <w:t xml:space="preserve">) donne à penser que « communiquer » et « transmettre » ne sont pas employés indifféremment dans la Loi.  Or, la disposition ne permet pas de conclure que ces mots renvoient à des opérations différentes.  En fait, la distinction tient à ce que les mots sont employés de pair avec des destinataires de différents types et des effets juridiques différents.  La transmission qui n’est pas également une communication </w:t>
      </w:r>
      <w:r w:rsidRPr="00B14156">
        <w:rPr>
          <w:rStyle w:val="ssens"/>
          <w:szCs w:val="24"/>
          <w:lang w:val="fr-CA"/>
        </w:rPr>
        <w:t>au public</w:t>
      </w:r>
      <w:r w:rsidRPr="00266DE1">
        <w:rPr>
          <w:rStyle w:val="ssens"/>
          <w:szCs w:val="24"/>
          <w:lang w:val="fr-CA"/>
        </w:rPr>
        <w:t xml:space="preserve"> échappe à l’application de l’al. 3(1)</w:t>
      </w:r>
      <w:r w:rsidRPr="00266DE1">
        <w:rPr>
          <w:rStyle w:val="ssens"/>
          <w:i/>
          <w:szCs w:val="24"/>
          <w:lang w:val="fr-CA"/>
        </w:rPr>
        <w:t>f</w:t>
      </w:r>
      <w:r w:rsidRPr="00266DE1">
        <w:rPr>
          <w:rStyle w:val="ssens"/>
          <w:szCs w:val="24"/>
          <w:lang w:val="fr-CA"/>
        </w:rPr>
        <w:t>).  Lorsque, en fin de compte, la transmission constitue une communication au public, l’al. 2.4(1)</w:t>
      </w:r>
      <w:r w:rsidRPr="00266DE1">
        <w:rPr>
          <w:rStyle w:val="ssens"/>
          <w:i/>
          <w:szCs w:val="24"/>
          <w:lang w:val="fr-CA"/>
        </w:rPr>
        <w:t>c</w:t>
      </w:r>
      <w:r w:rsidRPr="00266DE1">
        <w:rPr>
          <w:rStyle w:val="ssens"/>
          <w:szCs w:val="24"/>
          <w:lang w:val="fr-CA"/>
        </w:rPr>
        <w:t>) dispose que la transmission et la communication au public forment une communication unique au public qui est assujettie au droit d’auteur suivant l’al. 3(1)</w:t>
      </w:r>
      <w:r w:rsidRPr="00266DE1">
        <w:rPr>
          <w:rStyle w:val="ssens"/>
          <w:i/>
          <w:szCs w:val="24"/>
          <w:lang w:val="fr-CA"/>
        </w:rPr>
        <w:t>f</w:t>
      </w:r>
      <w:r w:rsidRPr="00266DE1">
        <w:rPr>
          <w:rStyle w:val="ssens"/>
          <w:szCs w:val="24"/>
          <w:lang w:val="fr-CA"/>
        </w:rPr>
        <w:t>).  En effet, dans la Loi, le verbe « communiquer » est toujours accompagné des mots « au public ».  ESA ne peut invoquer l’in</w:t>
      </w:r>
      <w:r w:rsidR="003B1184">
        <w:rPr>
          <w:rStyle w:val="ssens"/>
          <w:szCs w:val="24"/>
          <w:lang w:val="fr-CA"/>
        </w:rPr>
        <w:t>tention du législateur qui sous-</w:t>
      </w:r>
      <w:r w:rsidRPr="00266DE1">
        <w:rPr>
          <w:rStyle w:val="ssens"/>
          <w:szCs w:val="24"/>
          <w:lang w:val="fr-CA"/>
        </w:rPr>
        <w:t>tend l’al. 2.4(1)</w:t>
      </w:r>
      <w:r w:rsidRPr="00266DE1">
        <w:rPr>
          <w:rStyle w:val="ssens"/>
          <w:i/>
          <w:szCs w:val="24"/>
          <w:lang w:val="fr-CA"/>
        </w:rPr>
        <w:t>c</w:t>
      </w:r>
      <w:r w:rsidRPr="00266DE1">
        <w:rPr>
          <w:rStyle w:val="ssens"/>
          <w:szCs w:val="24"/>
          <w:lang w:val="fr-CA"/>
        </w:rPr>
        <w:t xml:space="preserve">) pour dissocier le verbe « communiquer » de son complément « au public » et lui conférer un autre sens, différent de celui du verbe « transmettre ».  Interprété dans son </w:t>
      </w:r>
      <w:r w:rsidRPr="00266DE1">
        <w:rPr>
          <w:rStyle w:val="ssens"/>
          <w:szCs w:val="24"/>
          <w:lang w:val="fr-CA"/>
        </w:rPr>
        <w:lastRenderedPageBreak/>
        <w:t>contexte, le libellé de l’al. 2.4(1)</w:t>
      </w:r>
      <w:r w:rsidRPr="00266DE1">
        <w:rPr>
          <w:rStyle w:val="ssens"/>
          <w:i/>
          <w:szCs w:val="24"/>
          <w:lang w:val="fr-CA"/>
        </w:rPr>
        <w:t>c</w:t>
      </w:r>
      <w:r w:rsidRPr="00266DE1">
        <w:rPr>
          <w:rStyle w:val="ssens"/>
          <w:szCs w:val="24"/>
          <w:lang w:val="fr-CA"/>
        </w:rPr>
        <w:t>) n’appuie pas la distinction que tente d’établir ESA.</w:t>
      </w:r>
    </w:p>
    <w:p w:rsidR="00B77AA4" w:rsidRPr="00266DE1" w:rsidRDefault="00B77AA4" w:rsidP="00B14156">
      <w:pPr>
        <w:pStyle w:val="TitleTitre-AltT"/>
        <w:tabs>
          <w:tab w:val="clear" w:pos="360"/>
          <w:tab w:val="left" w:pos="540"/>
        </w:tabs>
        <w:ind w:left="1170" w:hanging="1170"/>
        <w:rPr>
          <w:rStyle w:val="ssens"/>
          <w:szCs w:val="24"/>
          <w:lang w:val="fr-CA"/>
        </w:rPr>
      </w:pPr>
      <w:r w:rsidRPr="00266DE1">
        <w:rPr>
          <w:rStyle w:val="ssens"/>
          <w:szCs w:val="24"/>
          <w:lang w:val="fr-CA"/>
        </w:rPr>
        <w:tab/>
        <w:t>b)</w:t>
      </w:r>
      <w:r w:rsidRPr="00266DE1">
        <w:rPr>
          <w:rStyle w:val="ssens"/>
          <w:szCs w:val="24"/>
          <w:lang w:val="fr-CA"/>
        </w:rPr>
        <w:tab/>
      </w:r>
      <w:r w:rsidRPr="00266DE1">
        <w:rPr>
          <w:rStyle w:val="ssens"/>
          <w:i/>
          <w:szCs w:val="24"/>
          <w:lang w:val="fr-CA"/>
        </w:rPr>
        <w:t>L’arrêt CAPAC</w:t>
      </w:r>
    </w:p>
    <w:p w:rsidR="00B77AA4" w:rsidRPr="00266DE1" w:rsidRDefault="00B77AA4" w:rsidP="00B77AA4">
      <w:pPr>
        <w:pStyle w:val="ParaNoNdepar-AltN"/>
        <w:rPr>
          <w:rStyle w:val="ssens"/>
          <w:szCs w:val="24"/>
          <w:lang w:val="fr-CA"/>
        </w:rPr>
      </w:pPr>
      <w:r w:rsidRPr="00266DE1">
        <w:rPr>
          <w:szCs w:val="24"/>
          <w:lang w:val="fr-CA"/>
        </w:rPr>
        <w:t xml:space="preserve">Prenant appui sur l’arrêt </w:t>
      </w:r>
      <w:r w:rsidRPr="00266DE1">
        <w:rPr>
          <w:i/>
          <w:szCs w:val="24"/>
          <w:lang w:val="fr-CA"/>
        </w:rPr>
        <w:t>CAPAC</w:t>
      </w:r>
      <w:r w:rsidRPr="00266DE1">
        <w:rPr>
          <w:szCs w:val="24"/>
          <w:lang w:val="fr-CA"/>
        </w:rPr>
        <w:t xml:space="preserve"> de notre Cour, ESA avance que communiquer s’entend de diffuser l’exécution d’une œuvre à l’intention du public pour écoute immédiate et non simplement d’envoyer des signaux pouvant être perçus ultérieurement.  Or, cette décision n’étaye en rien sa prétention.</w:t>
      </w:r>
    </w:p>
    <w:p w:rsidR="00B77AA4" w:rsidRPr="00266DE1" w:rsidRDefault="00B77AA4" w:rsidP="00B77AA4">
      <w:pPr>
        <w:pStyle w:val="ParaNoNdepar-AltN"/>
        <w:rPr>
          <w:rStyle w:val="ssens"/>
          <w:szCs w:val="24"/>
          <w:lang w:val="fr-CA"/>
        </w:rPr>
      </w:pPr>
      <w:r w:rsidRPr="00266DE1">
        <w:rPr>
          <w:rStyle w:val="ssens"/>
          <w:szCs w:val="24"/>
          <w:lang w:val="fr-CA"/>
        </w:rPr>
        <w:t xml:space="preserve">Rappelons que, dans cette affaire, la Cour devait déterminer si la transmission par CTV à ses stations affiliées d’émissions de télévision contenant des œuvres musicales en vue de leur diffusion au public revenait à </w:t>
      </w:r>
      <w:r w:rsidR="007603A3">
        <w:rPr>
          <w:rStyle w:val="ssens"/>
          <w:szCs w:val="24"/>
          <w:lang w:val="fr-CA"/>
        </w:rPr>
        <w:t>[</w:t>
      </w:r>
      <w:r w:rsidR="007603A3" w:rsidRPr="007603A3">
        <w:rPr>
          <w:rStyle w:val="ssens"/>
          <w:smallCaps/>
          <w:szCs w:val="24"/>
          <w:lang w:val="fr-CA"/>
        </w:rPr>
        <w:t>traduction</w:t>
      </w:r>
      <w:r w:rsidR="007603A3">
        <w:rPr>
          <w:rStyle w:val="ssens"/>
          <w:szCs w:val="24"/>
          <w:lang w:val="fr-CA"/>
        </w:rPr>
        <w:t xml:space="preserve">] </w:t>
      </w:r>
      <w:r w:rsidRPr="00266DE1">
        <w:rPr>
          <w:rStyle w:val="ssens"/>
          <w:szCs w:val="24"/>
          <w:lang w:val="fr-CA"/>
        </w:rPr>
        <w:t>« transmettre ces émissions au moyen de la radiophonie » (p. 679), une activité bénéficiant de la protection prévue à l’al. 3(1)</w:t>
      </w:r>
      <w:r w:rsidRPr="00266DE1">
        <w:rPr>
          <w:rStyle w:val="ssens"/>
          <w:i/>
          <w:szCs w:val="24"/>
          <w:lang w:val="fr-CA"/>
        </w:rPr>
        <w:t>f</w:t>
      </w:r>
      <w:r w:rsidRPr="00266DE1">
        <w:rPr>
          <w:rStyle w:val="ssens"/>
          <w:szCs w:val="24"/>
          <w:lang w:val="fr-CA"/>
        </w:rPr>
        <w:t xml:space="preserve">) suivant son libellé d’alors.  </w:t>
      </w:r>
    </w:p>
    <w:p w:rsidR="00B77AA4" w:rsidRPr="00266DE1" w:rsidRDefault="00B77AA4" w:rsidP="00B77AA4">
      <w:pPr>
        <w:pStyle w:val="ParaNoNdepar-AltN"/>
        <w:rPr>
          <w:rStyle w:val="ssens"/>
          <w:szCs w:val="24"/>
          <w:lang w:val="fr-CA"/>
        </w:rPr>
      </w:pPr>
      <w:r w:rsidRPr="00266DE1">
        <w:rPr>
          <w:rStyle w:val="ssens"/>
          <w:szCs w:val="24"/>
          <w:lang w:val="fr-CA"/>
        </w:rPr>
        <w:t xml:space="preserve">Signalons d’abord que, dans l’arrêt </w:t>
      </w:r>
      <w:r w:rsidRPr="00266DE1">
        <w:rPr>
          <w:rStyle w:val="ssens"/>
          <w:i/>
          <w:szCs w:val="24"/>
          <w:lang w:val="fr-CA"/>
        </w:rPr>
        <w:t>CAPAC</w:t>
      </w:r>
      <w:r w:rsidRPr="00266DE1">
        <w:rPr>
          <w:rStyle w:val="ssens"/>
          <w:szCs w:val="24"/>
          <w:lang w:val="fr-CA"/>
        </w:rPr>
        <w:t>, la Cour interprète des dispositions de la Loi qui ont été modifiées depuis, et ce, d’une manière qui importe pour circonscrire la portée de l’al. 3(1)</w:t>
      </w:r>
      <w:r w:rsidRPr="00266DE1">
        <w:rPr>
          <w:rStyle w:val="ssens"/>
          <w:i/>
          <w:szCs w:val="24"/>
          <w:lang w:val="fr-CA"/>
        </w:rPr>
        <w:t>f</w:t>
      </w:r>
      <w:r w:rsidRPr="00266DE1">
        <w:rPr>
          <w:rStyle w:val="ssens"/>
          <w:szCs w:val="24"/>
          <w:lang w:val="fr-CA"/>
        </w:rPr>
        <w:t xml:space="preserve">).  J’y reviendrai.  Quoi qu’il en soit, le motif déterminant retenu par la Cour était que la transmission par CTV à ses affiliées d’émissions de télévision enregistrées contenant de la musique n’équivalait pas à la communication d’une </w:t>
      </w:r>
      <w:r w:rsidRPr="00266DE1">
        <w:rPr>
          <w:rStyle w:val="ssens"/>
          <w:i/>
          <w:szCs w:val="24"/>
          <w:lang w:val="fr-CA"/>
        </w:rPr>
        <w:t>œuvre</w:t>
      </w:r>
      <w:r w:rsidRPr="00266DE1">
        <w:rPr>
          <w:rStyle w:val="ssens"/>
          <w:szCs w:val="24"/>
          <w:lang w:val="fr-CA"/>
        </w:rPr>
        <w:t xml:space="preserve"> musicale par radiophonie.  En fait, comme CTV transmettait </w:t>
      </w:r>
      <w:r w:rsidRPr="00266DE1">
        <w:rPr>
          <w:rStyle w:val="ssens"/>
          <w:i/>
          <w:szCs w:val="24"/>
          <w:lang w:val="fr-CA"/>
        </w:rPr>
        <w:t xml:space="preserve">l’exécution </w:t>
      </w:r>
      <w:r w:rsidRPr="00266DE1">
        <w:rPr>
          <w:rStyle w:val="ssens"/>
          <w:szCs w:val="24"/>
          <w:lang w:val="fr-CA"/>
        </w:rPr>
        <w:t xml:space="preserve">de l’œuvre musicale (p. ex. dans une émission ordinaire), et </w:t>
      </w:r>
      <w:r w:rsidRPr="00266DE1">
        <w:rPr>
          <w:rStyle w:val="ssens"/>
          <w:szCs w:val="24"/>
          <w:lang w:val="fr-CA"/>
        </w:rPr>
        <w:lastRenderedPageBreak/>
        <w:t>non l’œuvre musicale elle</w:t>
      </w:r>
      <w:r w:rsidR="002F38C1">
        <w:rPr>
          <w:rStyle w:val="ssens"/>
          <w:szCs w:val="24"/>
          <w:lang w:val="fr-CA"/>
        </w:rPr>
        <w:t>-</w:t>
      </w:r>
      <w:r w:rsidRPr="00266DE1">
        <w:rPr>
          <w:rStyle w:val="ssens"/>
          <w:szCs w:val="24"/>
          <w:lang w:val="fr-CA"/>
        </w:rPr>
        <w:t>même (p. ex.</w:t>
      </w:r>
      <w:r w:rsidR="00082469">
        <w:rPr>
          <w:rStyle w:val="ssens"/>
          <w:szCs w:val="24"/>
          <w:lang w:val="fr-CA"/>
        </w:rPr>
        <w:t>,</w:t>
      </w:r>
      <w:r w:rsidRPr="00266DE1">
        <w:rPr>
          <w:rStyle w:val="ssens"/>
          <w:szCs w:val="24"/>
          <w:lang w:val="fr-CA"/>
        </w:rPr>
        <w:t xml:space="preserve"> la partition), l’al. 3(1)</w:t>
      </w:r>
      <w:r w:rsidRPr="00266DE1">
        <w:rPr>
          <w:rStyle w:val="ssens"/>
          <w:i/>
          <w:szCs w:val="24"/>
          <w:lang w:val="fr-CA"/>
        </w:rPr>
        <w:t>f</w:t>
      </w:r>
      <w:r w:rsidRPr="00266DE1">
        <w:rPr>
          <w:rStyle w:val="ssens"/>
          <w:szCs w:val="24"/>
          <w:lang w:val="fr-CA"/>
        </w:rPr>
        <w:t xml:space="preserve">) ne trouvait pas application, car il ne visait pas l’exécution d’une œuvre musicale.  Il importe de signaler que cette distinction découle de la définition d’« œuvre musicale » qui figurait alors dans la Loi et qu’elle n’a plus raison d’être. </w:t>
      </w:r>
    </w:p>
    <w:p w:rsidR="00B77AA4" w:rsidRPr="00266DE1" w:rsidRDefault="00B77AA4" w:rsidP="00B77AA4">
      <w:pPr>
        <w:pStyle w:val="ParaNoNdepar-AltN"/>
        <w:rPr>
          <w:szCs w:val="24"/>
          <w:lang w:val="fr-CA"/>
        </w:rPr>
      </w:pPr>
      <w:r w:rsidRPr="00266DE1">
        <w:rPr>
          <w:rStyle w:val="ssens"/>
          <w:szCs w:val="24"/>
          <w:lang w:val="fr-CA"/>
        </w:rPr>
        <w:t xml:space="preserve">ESA invoque néanmoins certaines remarques du juge Pigeon dans </w:t>
      </w:r>
      <w:r w:rsidRPr="00266DE1">
        <w:rPr>
          <w:rStyle w:val="ssens"/>
          <w:i/>
          <w:szCs w:val="24"/>
          <w:lang w:val="fr-CA"/>
        </w:rPr>
        <w:t>CAPAC</w:t>
      </w:r>
      <w:r w:rsidRPr="00266DE1">
        <w:rPr>
          <w:rStyle w:val="ssens"/>
          <w:szCs w:val="24"/>
          <w:lang w:val="fr-CA"/>
        </w:rPr>
        <w:t xml:space="preserve"> (p. 681</w:t>
      </w:r>
      <w:r w:rsidR="00082469">
        <w:rPr>
          <w:rStyle w:val="ssens"/>
          <w:szCs w:val="24"/>
          <w:lang w:val="fr-CA"/>
        </w:rPr>
        <w:t>-</w:t>
      </w:r>
      <w:r w:rsidRPr="00266DE1">
        <w:rPr>
          <w:rStyle w:val="ssens"/>
          <w:szCs w:val="24"/>
          <w:lang w:val="fr-CA"/>
        </w:rPr>
        <w:t>682) qui comportent une analyse de l’art</w:t>
      </w:r>
      <w:r w:rsidR="003B1184">
        <w:rPr>
          <w:rStyle w:val="ssens"/>
          <w:szCs w:val="24"/>
          <w:lang w:val="fr-CA"/>
        </w:rPr>
        <w:t>icle</w:t>
      </w:r>
      <w:r w:rsidRPr="00266DE1">
        <w:rPr>
          <w:rStyle w:val="ssens"/>
          <w:szCs w:val="24"/>
          <w:lang w:val="fr-CA"/>
        </w:rPr>
        <w:t xml:space="preserve"> 11</w:t>
      </w:r>
      <w:r w:rsidRPr="00266DE1">
        <w:rPr>
          <w:rStyle w:val="ssens"/>
          <w:i/>
          <w:szCs w:val="24"/>
          <w:lang w:val="fr-CA"/>
        </w:rPr>
        <w:t>bis</w:t>
      </w:r>
      <w:r w:rsidRPr="00266DE1">
        <w:rPr>
          <w:rStyle w:val="ssens"/>
          <w:szCs w:val="24"/>
          <w:lang w:val="fr-CA"/>
        </w:rPr>
        <w:t xml:space="preserve"> de la </w:t>
      </w:r>
      <w:r w:rsidRPr="00266DE1">
        <w:rPr>
          <w:rStyle w:val="ssens"/>
          <w:i/>
          <w:szCs w:val="24"/>
          <w:lang w:val="fr-CA"/>
        </w:rPr>
        <w:t>Convention de Berne pour la protection des œuvres littéraires et artistiques</w:t>
      </w:r>
      <w:r w:rsidRPr="00266DE1">
        <w:rPr>
          <w:rStyle w:val="ssens"/>
          <w:szCs w:val="24"/>
          <w:lang w:val="fr-CA"/>
        </w:rPr>
        <w:t>, 828 R.T.N.U</w:t>
      </w:r>
      <w:r w:rsidR="007603A3">
        <w:rPr>
          <w:rStyle w:val="ssens"/>
          <w:szCs w:val="24"/>
          <w:lang w:val="fr-CA"/>
        </w:rPr>
        <w:t>.</w:t>
      </w:r>
      <w:r w:rsidRPr="00266DE1">
        <w:rPr>
          <w:rStyle w:val="ssens"/>
          <w:szCs w:val="24"/>
          <w:lang w:val="fr-CA"/>
        </w:rPr>
        <w:t xml:space="preserve"> 221, l’assise de l’al. 3(1)</w:t>
      </w:r>
      <w:r w:rsidRPr="00266DE1">
        <w:rPr>
          <w:rStyle w:val="ssens"/>
          <w:i/>
          <w:szCs w:val="24"/>
          <w:lang w:val="fr-CA"/>
        </w:rPr>
        <w:t>f</w:t>
      </w:r>
      <w:r w:rsidRPr="00266DE1">
        <w:rPr>
          <w:rStyle w:val="ssens"/>
          <w:szCs w:val="24"/>
          <w:lang w:val="fr-CA"/>
        </w:rPr>
        <w:t>).  Pour elle, cette analyse démontre qu’une communication ne se résume pas à l’envoi de signaux, alors que c’est tout ce qui se produit lorsqu’une œuvre est téléchargée comme dans la situation considérée en l’espèce.  Elle soutient au contraire que l’art</w:t>
      </w:r>
      <w:r w:rsidR="003B1184">
        <w:rPr>
          <w:rStyle w:val="ssens"/>
          <w:szCs w:val="24"/>
          <w:lang w:val="fr-CA"/>
        </w:rPr>
        <w:t>icle</w:t>
      </w:r>
      <w:r w:rsidRPr="00266DE1">
        <w:rPr>
          <w:rStyle w:val="ssens"/>
          <w:szCs w:val="24"/>
          <w:lang w:val="fr-CA"/>
        </w:rPr>
        <w:t xml:space="preserve"> 11</w:t>
      </w:r>
      <w:r w:rsidRPr="00266DE1">
        <w:rPr>
          <w:rStyle w:val="ssens"/>
          <w:i/>
          <w:szCs w:val="24"/>
          <w:lang w:val="fr-CA"/>
        </w:rPr>
        <w:t xml:space="preserve">bis </w:t>
      </w:r>
      <w:r w:rsidRPr="00266DE1">
        <w:rPr>
          <w:rStyle w:val="ssens"/>
          <w:szCs w:val="24"/>
          <w:lang w:val="fr-CA"/>
        </w:rPr>
        <w:t xml:space="preserve">vise l’exécution ou </w:t>
      </w:r>
      <w:proofErr w:type="gramStart"/>
      <w:r w:rsidRPr="00266DE1">
        <w:rPr>
          <w:rStyle w:val="ssens"/>
          <w:szCs w:val="24"/>
          <w:lang w:val="fr-CA"/>
        </w:rPr>
        <w:t>la représentation publiques</w:t>
      </w:r>
      <w:proofErr w:type="gramEnd"/>
      <w:r w:rsidRPr="00266DE1">
        <w:rPr>
          <w:rStyle w:val="ssens"/>
          <w:szCs w:val="24"/>
          <w:lang w:val="fr-CA"/>
        </w:rPr>
        <w:t xml:space="preserve"> par radiodiffusion, en d’autres mots, la communication sous une forme perceptible par l’être humain.  Par conséquent, la « </w:t>
      </w:r>
      <w:proofErr w:type="spellStart"/>
      <w:proofErr w:type="gramStart"/>
      <w:r w:rsidRPr="00266DE1">
        <w:rPr>
          <w:rStyle w:val="ssens"/>
          <w:szCs w:val="24"/>
          <w:lang w:val="fr-CA"/>
        </w:rPr>
        <w:t>communi</w:t>
      </w:r>
      <w:proofErr w:type="spellEnd"/>
      <w:r w:rsidRPr="00266DE1">
        <w:rPr>
          <w:rStyle w:val="ssens"/>
          <w:szCs w:val="24"/>
          <w:lang w:val="fr-CA"/>
        </w:rPr>
        <w:t>[</w:t>
      </w:r>
      <w:proofErr w:type="gramEnd"/>
      <w:r w:rsidRPr="00266DE1">
        <w:rPr>
          <w:rStyle w:val="ssens"/>
          <w:szCs w:val="24"/>
          <w:lang w:val="fr-CA"/>
        </w:rPr>
        <w:t>cation] » visée à l’al. 3(1)</w:t>
      </w:r>
      <w:r w:rsidRPr="00266DE1">
        <w:rPr>
          <w:rStyle w:val="ssens"/>
          <w:i/>
          <w:szCs w:val="24"/>
          <w:lang w:val="fr-CA"/>
        </w:rPr>
        <w:t>f</w:t>
      </w:r>
      <w:r w:rsidRPr="00266DE1">
        <w:rPr>
          <w:rStyle w:val="ssens"/>
          <w:szCs w:val="24"/>
          <w:lang w:val="fr-CA"/>
        </w:rPr>
        <w:t xml:space="preserve">) s’entend aussi forcément du transfert d’information sous une forme perceptible par l’être humain.  </w:t>
      </w:r>
    </w:p>
    <w:p w:rsidR="00B77AA4" w:rsidRPr="00266DE1" w:rsidRDefault="00B77AA4" w:rsidP="00B77AA4">
      <w:pPr>
        <w:pStyle w:val="ParaNoNdepar-AltN"/>
        <w:rPr>
          <w:szCs w:val="24"/>
          <w:lang w:val="fr-CA"/>
        </w:rPr>
      </w:pPr>
      <w:r w:rsidRPr="00266DE1">
        <w:rPr>
          <w:szCs w:val="24"/>
          <w:lang w:val="fr-CA"/>
        </w:rPr>
        <w:t xml:space="preserve">Le juge Pigeon fait toutefois observer que </w:t>
      </w:r>
      <w:r w:rsidRPr="00266DE1">
        <w:rPr>
          <w:smallCaps/>
          <w:szCs w:val="24"/>
          <w:lang w:val="fr-CA"/>
        </w:rPr>
        <w:t>[traduction]</w:t>
      </w:r>
      <w:r w:rsidRPr="00266DE1">
        <w:rPr>
          <w:szCs w:val="24"/>
          <w:lang w:val="fr-CA"/>
        </w:rPr>
        <w:t xml:space="preserve"> « la</w:t>
      </w:r>
      <w:r w:rsidRPr="00266DE1">
        <w:rPr>
          <w:lang w:val="fr-CA"/>
        </w:rPr>
        <w:t xml:space="preserve"> </w:t>
      </w:r>
      <w:r w:rsidR="00CB55FF">
        <w:rPr>
          <w:rFonts w:cs="Times New Roman"/>
          <w:u w:val="single"/>
          <w:lang w:val="fr-CA"/>
        </w:rPr>
        <w:t>“</w:t>
      </w:r>
      <w:r w:rsidRPr="00266DE1">
        <w:rPr>
          <w:u w:val="single"/>
          <w:lang w:val="fr-CA"/>
        </w:rPr>
        <w:t>communication</w:t>
      </w:r>
      <w:r w:rsidR="00CB55FF">
        <w:rPr>
          <w:rFonts w:cs="Times New Roman"/>
          <w:u w:val="single"/>
          <w:lang w:val="fr-CA"/>
        </w:rPr>
        <w:t>”</w:t>
      </w:r>
      <w:r w:rsidRPr="00266DE1">
        <w:rPr>
          <w:u w:val="single"/>
          <w:lang w:val="fr-CA"/>
        </w:rPr>
        <w:t xml:space="preserve"> ne s’entend habi</w:t>
      </w:r>
      <w:r w:rsidR="00CB55FF">
        <w:rPr>
          <w:u w:val="single"/>
          <w:lang w:val="fr-CA"/>
        </w:rPr>
        <w:t xml:space="preserve">tuellement pas de </w:t>
      </w:r>
      <w:r w:rsidR="00883F7B">
        <w:rPr>
          <w:rFonts w:cs="Times New Roman"/>
          <w:u w:val="single"/>
          <w:lang w:val="fr-CA"/>
        </w:rPr>
        <w:t>“</w:t>
      </w:r>
      <w:r w:rsidR="00CB55FF">
        <w:rPr>
          <w:u w:val="single"/>
          <w:lang w:val="fr-CA"/>
        </w:rPr>
        <w:t>l’exécution</w:t>
      </w:r>
      <w:r w:rsidR="00CB55FF">
        <w:rPr>
          <w:rFonts w:cs="Times New Roman"/>
          <w:u w:val="single"/>
          <w:lang w:val="fr-CA"/>
        </w:rPr>
        <w:t>”</w:t>
      </w:r>
      <w:r w:rsidRPr="00266DE1">
        <w:rPr>
          <w:u w:val="single"/>
          <w:lang w:val="fr-CA"/>
        </w:rPr>
        <w:t xml:space="preserve">, </w:t>
      </w:r>
      <w:r w:rsidR="00082469">
        <w:rPr>
          <w:u w:val="single"/>
          <w:lang w:val="fr-CA"/>
        </w:rPr>
        <w:t>[</w:t>
      </w:r>
      <w:r w:rsidRPr="00266DE1">
        <w:rPr>
          <w:u w:val="single"/>
          <w:lang w:val="fr-CA"/>
        </w:rPr>
        <w:t xml:space="preserve">mais </w:t>
      </w:r>
      <w:r w:rsidRPr="00266DE1">
        <w:rPr>
          <w:szCs w:val="24"/>
          <w:u w:val="single"/>
          <w:lang w:val="fr-CA"/>
        </w:rPr>
        <w:t>qu’</w:t>
      </w:r>
      <w:proofErr w:type="gramStart"/>
      <w:r w:rsidRPr="00266DE1">
        <w:rPr>
          <w:szCs w:val="24"/>
          <w:u w:val="single"/>
          <w:lang w:val="fr-CA"/>
        </w:rPr>
        <w:t>]elle</w:t>
      </w:r>
      <w:proofErr w:type="gramEnd"/>
      <w:r w:rsidRPr="00266DE1">
        <w:rPr>
          <w:u w:val="single"/>
          <w:lang w:val="fr-CA"/>
        </w:rPr>
        <w:t xml:space="preserve"> pourrait l’englober</w:t>
      </w:r>
      <w:r w:rsidRPr="00266DE1">
        <w:rPr>
          <w:lang w:val="fr-CA"/>
        </w:rPr>
        <w:t> »</w:t>
      </w:r>
      <w:r w:rsidRPr="00266DE1">
        <w:rPr>
          <w:szCs w:val="24"/>
          <w:lang w:val="fr-CA"/>
        </w:rPr>
        <w:t xml:space="preserve"> (p. 681 (je souligne)).  Il s’ensuit nécessairement que le sens du mot « communication » est plus large que celui du mot « exécution ».  Partant, l’analyse du juge Pigeon n’appuie pas la thèse d’ESA, à savoir que la communication </w:t>
      </w:r>
      <w:r w:rsidRPr="00266DE1">
        <w:rPr>
          <w:szCs w:val="24"/>
          <w:lang w:val="fr-CA"/>
        </w:rPr>
        <w:lastRenderedPageBreak/>
        <w:t xml:space="preserve">s’entend </w:t>
      </w:r>
      <w:r w:rsidRPr="00266DE1">
        <w:rPr>
          <w:i/>
          <w:szCs w:val="24"/>
          <w:lang w:val="fr-CA"/>
        </w:rPr>
        <w:t xml:space="preserve">nécessairement </w:t>
      </w:r>
      <w:r w:rsidRPr="00266DE1">
        <w:rPr>
          <w:szCs w:val="24"/>
          <w:lang w:val="fr-CA"/>
        </w:rPr>
        <w:t>de l’exécution</w:t>
      </w:r>
      <w:r w:rsidRPr="00266DE1">
        <w:rPr>
          <w:i/>
          <w:szCs w:val="24"/>
          <w:lang w:val="fr-CA"/>
        </w:rPr>
        <w:t xml:space="preserve"> </w:t>
      </w:r>
      <w:r w:rsidRPr="00266DE1">
        <w:rPr>
          <w:szCs w:val="24"/>
          <w:lang w:val="fr-CA"/>
        </w:rPr>
        <w:t>ou d’une opération qui ne se résume pas à l’envoi de signaux.</w:t>
      </w:r>
    </w:p>
    <w:p w:rsidR="00B77AA4" w:rsidRPr="00266DE1" w:rsidRDefault="00B77AA4" w:rsidP="00CB55FF">
      <w:pPr>
        <w:pStyle w:val="TitleTitre-AltT"/>
        <w:tabs>
          <w:tab w:val="clear" w:pos="360"/>
          <w:tab w:val="left" w:pos="540"/>
        </w:tabs>
        <w:ind w:left="1170" w:hanging="1170"/>
        <w:rPr>
          <w:rStyle w:val="ssens"/>
          <w:szCs w:val="24"/>
          <w:lang w:val="fr-CA"/>
        </w:rPr>
      </w:pPr>
      <w:r w:rsidRPr="00266DE1">
        <w:rPr>
          <w:rStyle w:val="ssens"/>
          <w:szCs w:val="24"/>
          <w:lang w:val="fr-CA"/>
        </w:rPr>
        <w:tab/>
        <w:t>(5)</w:t>
      </w:r>
      <w:r w:rsidRPr="00266DE1">
        <w:rPr>
          <w:rStyle w:val="ssens"/>
          <w:szCs w:val="24"/>
          <w:lang w:val="fr-CA"/>
        </w:rPr>
        <w:tab/>
      </w:r>
      <w:r w:rsidRPr="00266DE1">
        <w:rPr>
          <w:rStyle w:val="ssens"/>
          <w:szCs w:val="24"/>
          <w:u w:val="single"/>
          <w:lang w:val="fr-CA"/>
        </w:rPr>
        <w:t xml:space="preserve">« Communiquer » une </w:t>
      </w:r>
      <w:r w:rsidR="00C835A5">
        <w:rPr>
          <w:rStyle w:val="ssens"/>
          <w:rFonts w:cs="Times New Roman"/>
          <w:szCs w:val="24"/>
          <w:u w:val="single"/>
          <w:lang w:val="fr-CA"/>
        </w:rPr>
        <w:t>œ</w:t>
      </w:r>
      <w:r w:rsidRPr="00266DE1">
        <w:rPr>
          <w:rStyle w:val="ssens"/>
          <w:szCs w:val="24"/>
          <w:u w:val="single"/>
          <w:lang w:val="fr-CA"/>
        </w:rPr>
        <w:t>uvre s’entend</w:t>
      </w:r>
      <w:r w:rsidR="002F38C1">
        <w:rPr>
          <w:rStyle w:val="ssens"/>
          <w:szCs w:val="24"/>
          <w:u w:val="single"/>
          <w:lang w:val="fr-CA"/>
        </w:rPr>
        <w:t>-</w:t>
      </w:r>
      <w:r w:rsidRPr="00266DE1">
        <w:rPr>
          <w:rStyle w:val="ssens"/>
          <w:szCs w:val="24"/>
          <w:u w:val="single"/>
          <w:lang w:val="fr-CA"/>
        </w:rPr>
        <w:t>il de l’« exécuter » ou de la « représenter » à distance?</w:t>
      </w:r>
    </w:p>
    <w:p w:rsidR="00B77AA4" w:rsidRPr="00266DE1" w:rsidRDefault="00B77AA4" w:rsidP="00B77AA4">
      <w:pPr>
        <w:pStyle w:val="ParaNoNdepar-AltN"/>
        <w:rPr>
          <w:lang w:val="fr-CA"/>
        </w:rPr>
      </w:pPr>
      <w:r w:rsidRPr="00266DE1">
        <w:rPr>
          <w:lang w:val="fr-CA"/>
        </w:rPr>
        <w:t>Prenant appui sur l’historique de l’al.</w:t>
      </w:r>
      <w:r w:rsidR="00CB55FF">
        <w:rPr>
          <w:lang w:val="fr-CA"/>
        </w:rPr>
        <w:t xml:space="preserve"> </w:t>
      </w:r>
      <w:r w:rsidRPr="00266DE1">
        <w:rPr>
          <w:lang w:val="fr-CA"/>
        </w:rPr>
        <w:t>3(1)</w:t>
      </w:r>
      <w:r w:rsidRPr="00266DE1">
        <w:rPr>
          <w:i/>
          <w:lang w:val="fr-CA"/>
        </w:rPr>
        <w:t>f</w:t>
      </w:r>
      <w:r w:rsidRPr="00266DE1">
        <w:rPr>
          <w:lang w:val="fr-CA"/>
        </w:rPr>
        <w:t xml:space="preserve">), ESA soutient de plus que le droit de communication n’est qu’une variante du droit d’exécution ou de représentation, soit celui d’exécuter ou de représenter une œuvre au bénéfice d’un auditoire qui se trouve </w:t>
      </w:r>
      <w:r w:rsidRPr="00266DE1">
        <w:rPr>
          <w:i/>
          <w:lang w:val="fr-CA"/>
        </w:rPr>
        <w:t>à distance</w:t>
      </w:r>
      <w:r w:rsidRPr="00266DE1">
        <w:rPr>
          <w:lang w:val="fr-CA"/>
        </w:rPr>
        <w:t>.  Comme elle prétend que l’exécution ou la représentation est intrinsèquement éphémère et ne peut déboucher sur la transmission d’une copie durable de l’œuvre à l’auditoire, le téléchargement ne peut constituer une exécution ou une représentation ni, par conséquent, une communication.</w:t>
      </w:r>
    </w:p>
    <w:p w:rsidR="00B77AA4" w:rsidRPr="00266DE1" w:rsidRDefault="00B77AA4" w:rsidP="00B77AA4">
      <w:pPr>
        <w:pStyle w:val="ParaNoNdepar-AltN"/>
        <w:rPr>
          <w:lang w:val="fr-CA"/>
        </w:rPr>
      </w:pPr>
      <w:r w:rsidRPr="00266DE1">
        <w:rPr>
          <w:lang w:val="fr-CA"/>
        </w:rPr>
        <w:t>J’ouvre brièvement une parenthèse pour signaler qu’il appert de la formulation même du par. 3(1) que le droit de communication prévu à l’al</w:t>
      </w:r>
      <w:r w:rsidR="00A55182">
        <w:rPr>
          <w:lang w:val="fr-CA"/>
        </w:rPr>
        <w:t>.</w:t>
      </w:r>
      <w:r w:rsidRPr="00266DE1">
        <w:rPr>
          <w:lang w:val="fr-CA"/>
        </w:rPr>
        <w:t> </w:t>
      </w:r>
      <w:r w:rsidRPr="00266DE1">
        <w:rPr>
          <w:i/>
          <w:lang w:val="fr-CA"/>
        </w:rPr>
        <w:t>f</w:t>
      </w:r>
      <w:r w:rsidRPr="00266DE1">
        <w:rPr>
          <w:lang w:val="fr-CA"/>
        </w:rPr>
        <w:t xml:space="preserve">) est autonome et distinct du droit d’exécution ou de représentation énoncé dans la partie introductive de l’article.  Au début de sa version anglaise, le par. 3(1) dispose : </w:t>
      </w:r>
    </w:p>
    <w:p w:rsidR="00B77AA4" w:rsidRPr="003B7906" w:rsidRDefault="00B77AA4" w:rsidP="00B77AA4">
      <w:pPr>
        <w:pStyle w:val="Citation-AltC"/>
        <w:ind w:hanging="1166"/>
        <w:rPr>
          <w:i/>
        </w:rPr>
      </w:pPr>
      <w:r w:rsidRPr="00266DE1">
        <w:rPr>
          <w:lang w:val="en-US"/>
        </w:rPr>
        <w:tab/>
      </w:r>
      <w:r w:rsidRPr="003B7906">
        <w:rPr>
          <w:i/>
        </w:rPr>
        <w:t xml:space="preserve">“copyright” </w:t>
      </w:r>
      <w:r w:rsidR="00CB55FF" w:rsidRPr="003B7906">
        <w:rPr>
          <w:i/>
        </w:rPr>
        <w:t>[</w:t>
      </w:r>
      <w:r w:rsidRPr="003B7906">
        <w:rPr>
          <w:i/>
        </w:rPr>
        <w:t>. . </w:t>
      </w:r>
      <w:r w:rsidR="00CB55FF" w:rsidRPr="003B7906">
        <w:rPr>
          <w:i/>
        </w:rPr>
        <w:t>.]</w:t>
      </w:r>
      <w:r w:rsidRPr="003B7906">
        <w:rPr>
          <w:i/>
        </w:rPr>
        <w:t xml:space="preserve"> means the sole right to produce or reproduce the work </w:t>
      </w:r>
      <w:r w:rsidR="00CB55FF" w:rsidRPr="003B7906">
        <w:rPr>
          <w:i/>
        </w:rPr>
        <w:t>[</w:t>
      </w:r>
      <w:r w:rsidRPr="003B7906">
        <w:rPr>
          <w:i/>
        </w:rPr>
        <w:t>. . .</w:t>
      </w:r>
      <w:r w:rsidR="00CB55FF" w:rsidRPr="003B7906">
        <w:rPr>
          <w:i/>
        </w:rPr>
        <w:t>]</w:t>
      </w:r>
      <w:r w:rsidRPr="003B7906">
        <w:rPr>
          <w:i/>
        </w:rPr>
        <w:t xml:space="preserve">, </w:t>
      </w:r>
      <w:r w:rsidRPr="003B7906">
        <w:rPr>
          <w:i/>
          <w:u w:val="single"/>
        </w:rPr>
        <w:t>to perform the work</w:t>
      </w:r>
      <w:r w:rsidRPr="003B7906">
        <w:rPr>
          <w:i/>
        </w:rPr>
        <w:t xml:space="preserve"> </w:t>
      </w:r>
      <w:r w:rsidR="003B1184" w:rsidRPr="003B7906">
        <w:rPr>
          <w:i/>
        </w:rPr>
        <w:t>[</w:t>
      </w:r>
      <w:r w:rsidRPr="003B7906">
        <w:rPr>
          <w:i/>
        </w:rPr>
        <w:t>. . .</w:t>
      </w:r>
      <w:r w:rsidR="003B1184" w:rsidRPr="003B7906">
        <w:rPr>
          <w:i/>
        </w:rPr>
        <w:t>]</w:t>
      </w:r>
      <w:r w:rsidRPr="003B7906">
        <w:rPr>
          <w:i/>
        </w:rPr>
        <w:t xml:space="preserve"> in public or </w:t>
      </w:r>
      <w:r w:rsidR="003B1184" w:rsidRPr="003B7906">
        <w:rPr>
          <w:i/>
        </w:rPr>
        <w:t>[</w:t>
      </w:r>
      <w:r w:rsidRPr="003B7906">
        <w:rPr>
          <w:i/>
        </w:rPr>
        <w:t>. . .</w:t>
      </w:r>
      <w:r w:rsidR="003B1184" w:rsidRPr="003B7906">
        <w:rPr>
          <w:i/>
        </w:rPr>
        <w:t>]</w:t>
      </w:r>
      <w:r w:rsidRPr="003B7906">
        <w:rPr>
          <w:i/>
        </w:rPr>
        <w:t xml:space="preserve"> to publish the work </w:t>
      </w:r>
      <w:r w:rsidR="003B1184" w:rsidRPr="003B7906">
        <w:rPr>
          <w:i/>
        </w:rPr>
        <w:t>[</w:t>
      </w:r>
      <w:r w:rsidRPr="003B7906">
        <w:rPr>
          <w:i/>
        </w:rPr>
        <w:t>. . .</w:t>
      </w:r>
      <w:r w:rsidR="003B1184" w:rsidRPr="003B7906">
        <w:rPr>
          <w:i/>
        </w:rPr>
        <w:t>]</w:t>
      </w:r>
      <w:r w:rsidRPr="003B7906">
        <w:rPr>
          <w:i/>
        </w:rPr>
        <w:t xml:space="preserve"> and </w:t>
      </w:r>
      <w:r w:rsidRPr="003B7906">
        <w:rPr>
          <w:i/>
          <w:u w:val="single"/>
        </w:rPr>
        <w:t>includes</w:t>
      </w:r>
      <w:r w:rsidRPr="003B7906">
        <w:rPr>
          <w:i/>
        </w:rPr>
        <w:t xml:space="preserve"> the sole right . . .</w:t>
      </w:r>
    </w:p>
    <w:p w:rsidR="00B77AA4" w:rsidRPr="00266DE1" w:rsidRDefault="00B77AA4" w:rsidP="00B77AA4">
      <w:pPr>
        <w:pStyle w:val="ParaNoNdepar-AltN"/>
        <w:numPr>
          <w:ilvl w:val="0"/>
          <w:numId w:val="0"/>
        </w:numPr>
        <w:rPr>
          <w:lang w:val="en-US"/>
        </w:rPr>
      </w:pPr>
      <w:r w:rsidRPr="00266DE1">
        <w:rPr>
          <w:lang w:val="fr-CA"/>
        </w:rPr>
        <w:lastRenderedPageBreak/>
        <w:t>La partie introductive est suivie de l’énumération de droits spécifiques aux al. 3(1)</w:t>
      </w:r>
      <w:r w:rsidRPr="00266DE1">
        <w:rPr>
          <w:i/>
          <w:lang w:val="fr-CA"/>
        </w:rPr>
        <w:t>a</w:t>
      </w:r>
      <w:r w:rsidRPr="00266DE1">
        <w:rPr>
          <w:lang w:val="fr-CA"/>
        </w:rPr>
        <w:t>) à </w:t>
      </w:r>
      <w:r w:rsidRPr="00266DE1">
        <w:rPr>
          <w:i/>
          <w:lang w:val="fr-CA"/>
        </w:rPr>
        <w:t>i</w:t>
      </w:r>
      <w:r w:rsidRPr="00266DE1">
        <w:rPr>
          <w:lang w:val="fr-CA"/>
        </w:rPr>
        <w:t xml:space="preserve">).  </w:t>
      </w:r>
      <w:proofErr w:type="spellStart"/>
      <w:proofErr w:type="gramStart"/>
      <w:r w:rsidRPr="00266DE1">
        <w:rPr>
          <w:lang w:val="en-US"/>
        </w:rPr>
        <w:t>L’alinéa</w:t>
      </w:r>
      <w:proofErr w:type="spellEnd"/>
      <w:r w:rsidRPr="00266DE1">
        <w:rPr>
          <w:lang w:val="en-US"/>
        </w:rPr>
        <w:t> </w:t>
      </w:r>
      <w:r w:rsidRPr="00266DE1">
        <w:rPr>
          <w:i/>
          <w:lang w:val="en-US"/>
        </w:rPr>
        <w:t>f</w:t>
      </w:r>
      <w:r w:rsidRPr="00266DE1">
        <w:rPr>
          <w:lang w:val="en-US"/>
        </w:rPr>
        <w:t xml:space="preserve">) </w:t>
      </w:r>
      <w:proofErr w:type="spellStart"/>
      <w:r w:rsidRPr="00266DE1">
        <w:rPr>
          <w:lang w:val="en-US"/>
        </w:rPr>
        <w:t>confère</w:t>
      </w:r>
      <w:proofErr w:type="spellEnd"/>
      <w:r w:rsidRPr="00266DE1">
        <w:rPr>
          <w:lang w:val="en-US"/>
        </w:rPr>
        <w:t xml:space="preserve"> le </w:t>
      </w:r>
      <w:proofErr w:type="spellStart"/>
      <w:r w:rsidRPr="00266DE1">
        <w:rPr>
          <w:lang w:val="en-US"/>
        </w:rPr>
        <w:t>droit</w:t>
      </w:r>
      <w:proofErr w:type="spellEnd"/>
      <w:r w:rsidRPr="00266DE1">
        <w:rPr>
          <w:lang w:val="en-US"/>
        </w:rPr>
        <w:t xml:space="preserve"> </w:t>
      </w:r>
      <w:proofErr w:type="spellStart"/>
      <w:r w:rsidRPr="00266DE1">
        <w:rPr>
          <w:lang w:val="en-US"/>
        </w:rPr>
        <w:t>exclusif</w:t>
      </w:r>
      <w:proofErr w:type="spellEnd"/>
      <w:r w:rsidRPr="00266DE1">
        <w:rPr>
          <w:lang w:val="en-US"/>
        </w:rPr>
        <w:t xml:space="preserve"> « </w:t>
      </w:r>
      <w:r w:rsidRPr="00266DE1">
        <w:rPr>
          <w:i/>
          <w:lang w:val="en-US"/>
        </w:rPr>
        <w:t>to communicate the work to the public by telecommunication</w:t>
      </w:r>
      <w:r w:rsidRPr="00266DE1">
        <w:rPr>
          <w:lang w:val="en-US"/>
        </w:rPr>
        <w:t> ».</w:t>
      </w:r>
      <w:proofErr w:type="gramEnd"/>
      <w:r w:rsidRPr="00266DE1">
        <w:rPr>
          <w:lang w:val="en-US"/>
        </w:rPr>
        <w:t xml:space="preserve"> </w:t>
      </w:r>
    </w:p>
    <w:p w:rsidR="00B77AA4" w:rsidRPr="00266DE1" w:rsidRDefault="00B77AA4" w:rsidP="00B77AA4">
      <w:pPr>
        <w:pStyle w:val="ParaNoNdepar-AltN"/>
        <w:rPr>
          <w:lang w:val="fr-CA"/>
        </w:rPr>
      </w:pPr>
      <w:r w:rsidRPr="00266DE1">
        <w:rPr>
          <w:lang w:val="fr-CA"/>
        </w:rPr>
        <w:t>Certes, l’emploi du mot « </w:t>
      </w:r>
      <w:proofErr w:type="spellStart"/>
      <w:r w:rsidRPr="00266DE1">
        <w:rPr>
          <w:i/>
          <w:lang w:val="fr-CA"/>
        </w:rPr>
        <w:t>includes</w:t>
      </w:r>
      <w:proofErr w:type="spellEnd"/>
      <w:r w:rsidRPr="00266DE1">
        <w:rPr>
          <w:lang w:val="fr-CA"/>
        </w:rPr>
        <w:t> » pourrait être l’indice que les droits énumérés aux al. </w:t>
      </w:r>
      <w:r w:rsidRPr="00266DE1">
        <w:rPr>
          <w:i/>
          <w:lang w:val="fr-CA"/>
        </w:rPr>
        <w:t>a</w:t>
      </w:r>
      <w:r w:rsidRPr="00266DE1">
        <w:rPr>
          <w:lang w:val="fr-CA"/>
        </w:rPr>
        <w:t xml:space="preserve">) à </w:t>
      </w:r>
      <w:r w:rsidRPr="00266DE1">
        <w:rPr>
          <w:i/>
          <w:lang w:val="fr-CA"/>
        </w:rPr>
        <w:t>i</w:t>
      </w:r>
      <w:r w:rsidRPr="00266DE1">
        <w:rPr>
          <w:lang w:val="fr-CA"/>
        </w:rPr>
        <w:t>) constituent des exemples de l’un ou l’autre des droits conférés au début du par. 3(1), mais le contexte va dans le sens contraire.  Plusieurs des droits énumérés sont clairement distincts du droit de produire ou de reproduire, d’exécuter, de représenter ou de publier.  Par exemple, l’al. 3(1)</w:t>
      </w:r>
      <w:r w:rsidRPr="00266DE1">
        <w:rPr>
          <w:i/>
          <w:lang w:val="fr-CA"/>
        </w:rPr>
        <w:t>i</w:t>
      </w:r>
      <w:r w:rsidRPr="00266DE1">
        <w:rPr>
          <w:lang w:val="fr-CA"/>
        </w:rPr>
        <w:t xml:space="preserve">) prévoit le droit de louer l’enregistrement sonore d’une œuvre musicale.  On voit mal comment ce droit pourrait s’insérer dans le droit de produire ou de reproduire, d’exécuter, de représenter ou de publier l’œuvre.  Ce serait effectivement contraire à la conclusion des juges majoritaires de la Cour dans l’arrêt </w:t>
      </w:r>
      <w:proofErr w:type="spellStart"/>
      <w:r w:rsidRPr="00266DE1">
        <w:rPr>
          <w:i/>
          <w:lang w:val="fr-CA"/>
        </w:rPr>
        <w:t>Théberge</w:t>
      </w:r>
      <w:proofErr w:type="spellEnd"/>
      <w:r w:rsidRPr="00266DE1">
        <w:rPr>
          <w:lang w:val="fr-CA"/>
        </w:rPr>
        <w:t xml:space="preserve"> selon laquelle, pour les besoins de la Loi, la « reproduction » implique la </w:t>
      </w:r>
      <w:r w:rsidRPr="004128A9">
        <w:rPr>
          <w:i/>
          <w:lang w:val="fr-CA"/>
        </w:rPr>
        <w:t>multiplication</w:t>
      </w:r>
      <w:r w:rsidRPr="00266DE1">
        <w:rPr>
          <w:lang w:val="fr-CA"/>
        </w:rPr>
        <w:t xml:space="preserve"> des copies (voir en particulier les par. 42 et 45).  Il convient donc de considérer l’ensemble des prérogatives que le par. 3(1) reconnaît au titulaire du droit d’auteur comme des droits distincts les uns des autres (</w:t>
      </w:r>
      <w:r w:rsidRPr="00266DE1">
        <w:rPr>
          <w:i/>
          <w:lang w:val="fr-CA"/>
        </w:rPr>
        <w:t>Bishop c. Stevens</w:t>
      </w:r>
      <w:r w:rsidRPr="00266DE1">
        <w:rPr>
          <w:lang w:val="fr-CA"/>
        </w:rPr>
        <w:t xml:space="preserve">, p. 477, la juge </w:t>
      </w:r>
      <w:proofErr w:type="spellStart"/>
      <w:r w:rsidRPr="00266DE1">
        <w:rPr>
          <w:lang w:val="fr-CA"/>
        </w:rPr>
        <w:t>McLachlin</w:t>
      </w:r>
      <w:proofErr w:type="spellEnd"/>
      <w:r w:rsidRPr="00266DE1">
        <w:rPr>
          <w:lang w:val="fr-CA"/>
        </w:rPr>
        <w:t xml:space="preserve">; </w:t>
      </w:r>
      <w:r w:rsidRPr="00266DE1">
        <w:rPr>
          <w:i/>
          <w:lang w:val="fr-CA"/>
        </w:rPr>
        <w:t>Compo Co. c. Blue Crest Music Inc.</w:t>
      </w:r>
      <w:r w:rsidRPr="00266DE1">
        <w:rPr>
          <w:lang w:val="fr-CA"/>
        </w:rPr>
        <w:t xml:space="preserve">, p. 373, le juge </w:t>
      </w:r>
      <w:proofErr w:type="spellStart"/>
      <w:r w:rsidRPr="00266DE1">
        <w:rPr>
          <w:lang w:val="fr-CA"/>
        </w:rPr>
        <w:t>Estey</w:t>
      </w:r>
      <w:proofErr w:type="spellEnd"/>
      <w:r w:rsidRPr="00266DE1">
        <w:rPr>
          <w:lang w:val="fr-CA"/>
        </w:rPr>
        <w:t xml:space="preserve">).  </w:t>
      </w:r>
    </w:p>
    <w:p w:rsidR="00B77AA4" w:rsidRPr="00266DE1" w:rsidRDefault="00B77AA4" w:rsidP="00B77AA4">
      <w:pPr>
        <w:pStyle w:val="ParaNoNdepar-AltN"/>
        <w:rPr>
          <w:lang w:val="fr-CA"/>
        </w:rPr>
      </w:pPr>
      <w:r w:rsidRPr="00266DE1">
        <w:rPr>
          <w:lang w:val="fr-CA"/>
        </w:rPr>
        <w:t>Cette interprétation de la version anglaise du par. 3(1) est conforme au texte de la version française : « [l]e droit d’auteur sur l’</w:t>
      </w:r>
      <w:r w:rsidR="00CB55FF">
        <w:rPr>
          <w:rFonts w:cs="Times New Roman"/>
          <w:lang w:val="fr-CA"/>
        </w:rPr>
        <w:t>œ</w:t>
      </w:r>
      <w:r w:rsidRPr="00266DE1">
        <w:rPr>
          <w:lang w:val="fr-CA"/>
        </w:rPr>
        <w:t xml:space="preserve">uvre comporte le droit exclusif de produire ou reproduire </w:t>
      </w:r>
      <w:r w:rsidR="008631ED">
        <w:rPr>
          <w:lang w:val="fr-CA"/>
        </w:rPr>
        <w:t>[</w:t>
      </w:r>
      <w:r w:rsidRPr="00266DE1">
        <w:rPr>
          <w:lang w:val="fr-CA"/>
        </w:rPr>
        <w:t>. . .</w:t>
      </w:r>
      <w:r w:rsidR="008631ED">
        <w:rPr>
          <w:lang w:val="fr-CA"/>
        </w:rPr>
        <w:t>]</w:t>
      </w:r>
      <w:r w:rsidRPr="00266DE1">
        <w:rPr>
          <w:lang w:val="fr-CA"/>
        </w:rPr>
        <w:t xml:space="preserve"> l’œuvre, [de la représenter ou de la publier]; ce droit comporte,</w:t>
      </w:r>
      <w:r w:rsidRPr="00266DE1">
        <w:rPr>
          <w:i/>
          <w:lang w:val="fr-CA"/>
        </w:rPr>
        <w:t xml:space="preserve"> </w:t>
      </w:r>
      <w:r w:rsidRPr="00266DE1">
        <w:rPr>
          <w:lang w:val="fr-CA"/>
        </w:rPr>
        <w:t>en outre, [les droits énumérés aux al. </w:t>
      </w:r>
      <w:r w:rsidRPr="00266DE1">
        <w:rPr>
          <w:i/>
          <w:lang w:val="fr-CA"/>
        </w:rPr>
        <w:t>a</w:t>
      </w:r>
      <w:r w:rsidRPr="00266DE1">
        <w:rPr>
          <w:lang w:val="fr-CA"/>
        </w:rPr>
        <w:t xml:space="preserve">) à </w:t>
      </w:r>
      <w:r w:rsidRPr="00266DE1">
        <w:rPr>
          <w:i/>
          <w:lang w:val="fr-CA"/>
        </w:rPr>
        <w:t>i</w:t>
      </w:r>
      <w:r w:rsidRPr="00266DE1">
        <w:rPr>
          <w:lang w:val="fr-CA"/>
        </w:rPr>
        <w:t xml:space="preserve">)] ».  L’utilisation du </w:t>
      </w:r>
      <w:r w:rsidRPr="00266DE1">
        <w:rPr>
          <w:lang w:val="fr-CA"/>
        </w:rPr>
        <w:lastRenderedPageBreak/>
        <w:t>terme « en outre » confirme que les droits énumérés aux al. </w:t>
      </w:r>
      <w:r w:rsidRPr="00266DE1">
        <w:rPr>
          <w:i/>
          <w:lang w:val="fr-CA"/>
        </w:rPr>
        <w:t>a</w:t>
      </w:r>
      <w:r w:rsidRPr="00266DE1">
        <w:rPr>
          <w:lang w:val="fr-CA"/>
        </w:rPr>
        <w:t xml:space="preserve">) à </w:t>
      </w:r>
      <w:r w:rsidRPr="00266DE1">
        <w:rPr>
          <w:i/>
          <w:lang w:val="fr-CA"/>
        </w:rPr>
        <w:t>i</w:t>
      </w:r>
      <w:r w:rsidRPr="00266DE1">
        <w:rPr>
          <w:lang w:val="fr-CA"/>
        </w:rPr>
        <w:t xml:space="preserve">) s’ajoutent à ceux qui sont énoncés au début de la disposition.  </w:t>
      </w:r>
    </w:p>
    <w:p w:rsidR="00B77AA4" w:rsidRPr="00266DE1" w:rsidRDefault="00B77AA4" w:rsidP="00B77AA4">
      <w:pPr>
        <w:pStyle w:val="ParaNoNdepar-AltN"/>
        <w:rPr>
          <w:lang w:val="fr-CA"/>
        </w:rPr>
      </w:pPr>
      <w:r w:rsidRPr="00266DE1">
        <w:rPr>
          <w:lang w:val="fr-CA"/>
        </w:rPr>
        <w:t>Cependant, ESA invoque l’historique législatif pour ramener le droit de communiquer une œuvre au public à celui d’exécuter ou de représenter l’œuvre en public à distance, sous une forme perceptible par l’être humain, ce qui sera</w:t>
      </w:r>
      <w:r w:rsidR="003B7906">
        <w:rPr>
          <w:lang w:val="fr-CA"/>
        </w:rPr>
        <w:t xml:space="preserve">it distinct du téléchargement. </w:t>
      </w:r>
    </w:p>
    <w:p w:rsidR="00B77AA4" w:rsidRPr="00266DE1" w:rsidRDefault="00B77AA4" w:rsidP="00B77AA4">
      <w:pPr>
        <w:pStyle w:val="ParaNoNdepar-AltN"/>
        <w:rPr>
          <w:lang w:val="fr-CA"/>
        </w:rPr>
      </w:pPr>
      <w:r w:rsidRPr="00266DE1">
        <w:rPr>
          <w:lang w:val="fr-CA"/>
        </w:rPr>
        <w:t xml:space="preserve">La loi canadienne s’inspire de la </w:t>
      </w:r>
      <w:r w:rsidRPr="00266DE1">
        <w:rPr>
          <w:i/>
          <w:lang w:val="fr-CA"/>
        </w:rPr>
        <w:t>Convention de Berne</w:t>
      </w:r>
      <w:r w:rsidRPr="00266DE1">
        <w:rPr>
          <w:lang w:val="fr-CA"/>
        </w:rPr>
        <w:t xml:space="preserve"> de 1886, révisée à Berlin en 1908 (voir </w:t>
      </w:r>
      <w:r w:rsidRPr="00266DE1">
        <w:rPr>
          <w:i/>
          <w:lang w:val="fr-CA"/>
        </w:rPr>
        <w:t>Bishop c. Stevens</w:t>
      </w:r>
      <w:r w:rsidRPr="00266DE1">
        <w:rPr>
          <w:lang w:val="fr-CA"/>
        </w:rPr>
        <w:t xml:space="preserve">, p. 473).  La </w:t>
      </w:r>
      <w:r w:rsidRPr="008631ED">
        <w:rPr>
          <w:i/>
          <w:lang w:val="fr-CA"/>
        </w:rPr>
        <w:t>Convention de Berne</w:t>
      </w:r>
      <w:r w:rsidRPr="00266DE1">
        <w:rPr>
          <w:lang w:val="fr-CA"/>
        </w:rPr>
        <w:t xml:space="preserve"> ainsi révisée prévoyait certains droits d’exécution en public de certains types d’œuvre.  Or, l’avènement de la radio a rendu nécessaire une nouvelle révision.  En 1928, l’article 11</w:t>
      </w:r>
      <w:r w:rsidRPr="00266DE1">
        <w:rPr>
          <w:i/>
          <w:lang w:val="fr-CA"/>
        </w:rPr>
        <w:t>bis</w:t>
      </w:r>
      <w:r w:rsidRPr="00266DE1">
        <w:rPr>
          <w:lang w:val="fr-CA"/>
        </w:rPr>
        <w:t xml:space="preserve"> a été ajouté et garantissait dès lors ce qui suit : </w:t>
      </w:r>
    </w:p>
    <w:p w:rsidR="008631ED" w:rsidRDefault="008631ED" w:rsidP="008631ED">
      <w:pPr>
        <w:pStyle w:val="Citation-AltC"/>
        <w:tabs>
          <w:tab w:val="left" w:pos="1710"/>
        </w:tabs>
        <w:ind w:left="1168" w:hanging="1168"/>
        <w:jc w:val="center"/>
        <w:rPr>
          <w:lang w:val="fr-CA"/>
        </w:rPr>
      </w:pPr>
      <w:r>
        <w:rPr>
          <w:lang w:val="fr-CA"/>
        </w:rPr>
        <w:t>Article 11</w:t>
      </w:r>
      <w:r w:rsidRPr="003A24AB">
        <w:rPr>
          <w:i/>
          <w:lang w:val="fr-CA"/>
        </w:rPr>
        <w:t>bis</w:t>
      </w:r>
    </w:p>
    <w:p w:rsidR="008631ED" w:rsidRDefault="008631ED" w:rsidP="008631ED">
      <w:pPr>
        <w:pStyle w:val="Citation-AltC"/>
        <w:tabs>
          <w:tab w:val="left" w:pos="1710"/>
        </w:tabs>
        <w:ind w:left="1168" w:hanging="1168"/>
        <w:rPr>
          <w:lang w:val="fr-CA"/>
        </w:rPr>
      </w:pPr>
    </w:p>
    <w:p w:rsidR="00B77AA4" w:rsidRPr="00266DE1" w:rsidRDefault="008631ED" w:rsidP="003B7906">
      <w:pPr>
        <w:pStyle w:val="Citation-AltC"/>
        <w:tabs>
          <w:tab w:val="left" w:pos="1710"/>
          <w:tab w:val="left" w:pos="2160"/>
        </w:tabs>
        <w:ind w:left="1168" w:hanging="1168"/>
        <w:rPr>
          <w:lang w:val="fr-CA"/>
        </w:rPr>
      </w:pPr>
      <w:r>
        <w:rPr>
          <w:lang w:val="fr-CA"/>
        </w:rPr>
        <w:tab/>
      </w:r>
      <w:r>
        <w:rPr>
          <w:lang w:val="fr-CA"/>
        </w:rPr>
        <w:tab/>
      </w:r>
      <w:r w:rsidR="003B7906">
        <w:rPr>
          <w:lang w:val="fr-CA"/>
        </w:rPr>
        <w:t>(1)</w:t>
      </w:r>
      <w:r w:rsidR="003B7906">
        <w:rPr>
          <w:lang w:val="fr-CA"/>
        </w:rPr>
        <w:tab/>
      </w:r>
      <w:r w:rsidR="00B77AA4" w:rsidRPr="00266DE1">
        <w:rPr>
          <w:lang w:val="fr-CA"/>
        </w:rPr>
        <w:t xml:space="preserve">Les auteurs d’œuvres littéraires et artistiques jouissent du droit exclusif d’autoriser la communication de leurs œuvres au public par la radiodiffusion.  </w:t>
      </w:r>
    </w:p>
    <w:p w:rsidR="00B77AA4" w:rsidRPr="00266DE1" w:rsidRDefault="00B77AA4" w:rsidP="00B77AA4">
      <w:pPr>
        <w:pStyle w:val="ParaNoNdepar-AltN"/>
        <w:rPr>
          <w:lang w:val="fr-CA"/>
        </w:rPr>
      </w:pPr>
      <w:r w:rsidRPr="00266DE1">
        <w:rPr>
          <w:lang w:val="fr-CA"/>
        </w:rPr>
        <w:t>En 1931, le Canada a mis en œuvre le texte révisé par l’adoption de l’al. 3(1)</w:t>
      </w:r>
      <w:r w:rsidRPr="00266DE1">
        <w:rPr>
          <w:i/>
          <w:lang w:val="fr-CA"/>
        </w:rPr>
        <w:t>f</w:t>
      </w:r>
      <w:r w:rsidRPr="00266DE1">
        <w:rPr>
          <w:lang w:val="fr-CA"/>
        </w:rPr>
        <w:t>), qui prévoyait alors le droit, « [s]’il s’agit d’une œuvre littéraire, dramatique, musicale ou artistique, de transmettre cette œuvre au moyen de la radiophonie » (</w:t>
      </w:r>
      <w:r w:rsidRPr="00266DE1">
        <w:rPr>
          <w:i/>
          <w:lang w:val="fr-CA"/>
        </w:rPr>
        <w:t>Loi modificative du droit d’auteur, 1931</w:t>
      </w:r>
      <w:r w:rsidRPr="00266DE1">
        <w:rPr>
          <w:lang w:val="fr-CA"/>
        </w:rPr>
        <w:t xml:space="preserve">, </w:t>
      </w:r>
      <w:r w:rsidR="008631ED">
        <w:rPr>
          <w:lang w:val="fr-CA"/>
        </w:rPr>
        <w:t>S.C. 1931</w:t>
      </w:r>
      <w:r w:rsidRPr="00266DE1">
        <w:rPr>
          <w:lang w:val="fr-CA"/>
        </w:rPr>
        <w:t xml:space="preserve">, ch. 8) (voir </w:t>
      </w:r>
      <w:r w:rsidRPr="00266DE1">
        <w:rPr>
          <w:i/>
          <w:lang w:val="fr-CA"/>
        </w:rPr>
        <w:t>CAPAC</w:t>
      </w:r>
      <w:r w:rsidRPr="00266DE1">
        <w:rPr>
          <w:lang w:val="fr-CA"/>
        </w:rPr>
        <w:t>, p. 680</w:t>
      </w:r>
      <w:r w:rsidR="002F38C1">
        <w:rPr>
          <w:lang w:val="fr-CA"/>
        </w:rPr>
        <w:t>-</w:t>
      </w:r>
      <w:r w:rsidRPr="00266DE1">
        <w:rPr>
          <w:lang w:val="fr-CA"/>
        </w:rPr>
        <w:t xml:space="preserve">681).  </w:t>
      </w:r>
    </w:p>
    <w:p w:rsidR="00B77AA4" w:rsidRPr="00266DE1" w:rsidRDefault="00B77AA4" w:rsidP="00B77AA4">
      <w:pPr>
        <w:pStyle w:val="ParaNoNdepar-AltN"/>
        <w:rPr>
          <w:lang w:val="fr-CA"/>
        </w:rPr>
      </w:pPr>
      <w:r w:rsidRPr="00266DE1">
        <w:rPr>
          <w:lang w:val="fr-CA"/>
        </w:rPr>
        <w:lastRenderedPageBreak/>
        <w:t>L’alinéa 3(1)</w:t>
      </w:r>
      <w:r w:rsidRPr="00266DE1">
        <w:rPr>
          <w:i/>
          <w:lang w:val="fr-CA"/>
        </w:rPr>
        <w:t>f</w:t>
      </w:r>
      <w:r w:rsidRPr="00266DE1">
        <w:rPr>
          <w:lang w:val="fr-CA"/>
        </w:rPr>
        <w:t xml:space="preserve">) a fait l’objet d’une nouvelle modification en 1988.  Suivant l’arrêt </w:t>
      </w:r>
      <w:r w:rsidRPr="00266DE1">
        <w:rPr>
          <w:i/>
          <w:lang w:val="fr-CA"/>
        </w:rPr>
        <w:t xml:space="preserve">Canadian </w:t>
      </w:r>
      <w:proofErr w:type="spellStart"/>
      <w:r w:rsidRPr="00266DE1">
        <w:rPr>
          <w:i/>
          <w:lang w:val="fr-CA"/>
        </w:rPr>
        <w:t>Admiral</w:t>
      </w:r>
      <w:proofErr w:type="spellEnd"/>
      <w:r w:rsidRPr="00266DE1">
        <w:rPr>
          <w:i/>
          <w:lang w:val="fr-CA"/>
        </w:rPr>
        <w:t xml:space="preserve"> Corp. c. Rediffusion, Inc.</w:t>
      </w:r>
      <w:r w:rsidRPr="00266DE1">
        <w:rPr>
          <w:lang w:val="fr-CA"/>
        </w:rPr>
        <w:t xml:space="preserve">, [1954] R.C. de l’É. 382, le droit jusqu’alors conféré s’appliquait à la radiodiffusion et à la télédiffusion traditionnelle par ondes hertziennes, mais pas à la </w:t>
      </w:r>
      <w:r w:rsidRPr="00266DE1">
        <w:rPr>
          <w:i/>
          <w:lang w:val="fr-CA"/>
        </w:rPr>
        <w:t>câblodistribution</w:t>
      </w:r>
      <w:r w:rsidRPr="00266DE1">
        <w:rPr>
          <w:lang w:val="fr-CA"/>
        </w:rPr>
        <w:t xml:space="preserve">.  Ce droit axé sur une technologie en particulier a été remplacé par celui, </w:t>
      </w:r>
      <w:r w:rsidRPr="00266DE1">
        <w:rPr>
          <w:i/>
          <w:lang w:val="fr-CA"/>
        </w:rPr>
        <w:t xml:space="preserve">neutre </w:t>
      </w:r>
      <w:r w:rsidRPr="00266DE1">
        <w:rPr>
          <w:lang w:val="fr-CA"/>
        </w:rPr>
        <w:t>sur le plan technologique, de « communiquer au public, par télécommunication » dans le respect des obligations du Canada découlant de l’</w:t>
      </w:r>
      <w:r w:rsidRPr="00266DE1">
        <w:rPr>
          <w:i/>
          <w:lang w:val="fr-CA"/>
        </w:rPr>
        <w:t xml:space="preserve">Accord </w:t>
      </w:r>
      <w:r w:rsidR="008631ED">
        <w:rPr>
          <w:i/>
          <w:lang w:val="fr-CA"/>
        </w:rPr>
        <w:t>de libre-</w:t>
      </w:r>
      <w:r w:rsidR="008631ED" w:rsidRPr="00266DE1">
        <w:rPr>
          <w:i/>
          <w:lang w:val="fr-CA"/>
        </w:rPr>
        <w:t xml:space="preserve">échange </w:t>
      </w:r>
      <w:r w:rsidRPr="00266DE1">
        <w:rPr>
          <w:i/>
          <w:lang w:val="fr-CA"/>
        </w:rPr>
        <w:t>nord-américain</w:t>
      </w:r>
      <w:r w:rsidRPr="00266DE1">
        <w:rPr>
          <w:lang w:val="fr-CA"/>
        </w:rPr>
        <w:t>, R.T</w:t>
      </w:r>
      <w:r w:rsidR="008631ED">
        <w:rPr>
          <w:lang w:val="fr-CA"/>
        </w:rPr>
        <w:t>.</w:t>
      </w:r>
      <w:r w:rsidRPr="00266DE1">
        <w:rPr>
          <w:lang w:val="fr-CA"/>
        </w:rPr>
        <w:t xml:space="preserve"> Can. 1994, n</w:t>
      </w:r>
      <w:r w:rsidRPr="00266DE1">
        <w:rPr>
          <w:vertAlign w:val="superscript"/>
          <w:lang w:val="fr-CA"/>
        </w:rPr>
        <w:t xml:space="preserve">o </w:t>
      </w:r>
      <w:r w:rsidRPr="00266DE1">
        <w:rPr>
          <w:lang w:val="fr-CA"/>
        </w:rPr>
        <w:t>2</w:t>
      </w:r>
      <w:r w:rsidRPr="00266DE1">
        <w:rPr>
          <w:i/>
          <w:lang w:val="fr-CA"/>
        </w:rPr>
        <w:t xml:space="preserve"> </w:t>
      </w:r>
      <w:r w:rsidRPr="00266DE1">
        <w:rPr>
          <w:lang w:val="fr-CA"/>
        </w:rPr>
        <w:t>(</w:t>
      </w:r>
      <w:r w:rsidRPr="00266DE1">
        <w:rPr>
          <w:i/>
          <w:lang w:val="fr-CA"/>
        </w:rPr>
        <w:t>Loi de mis</w:t>
      </w:r>
      <w:r w:rsidR="008631ED">
        <w:rPr>
          <w:i/>
          <w:lang w:val="fr-CA"/>
        </w:rPr>
        <w:t xml:space="preserve">e en œuvre de l’Accord de libre-échange Canada </w:t>
      </w:r>
      <w:r w:rsidR="008631ED">
        <w:rPr>
          <w:rFonts w:cs="Times New Roman"/>
          <w:i/>
          <w:lang w:val="fr-CA"/>
        </w:rPr>
        <w:t xml:space="preserve">— </w:t>
      </w:r>
      <w:r w:rsidR="008631ED">
        <w:rPr>
          <w:i/>
          <w:lang w:val="fr-CA"/>
        </w:rPr>
        <w:t>États-</w:t>
      </w:r>
      <w:r w:rsidRPr="00266DE1">
        <w:rPr>
          <w:i/>
          <w:lang w:val="fr-CA"/>
        </w:rPr>
        <w:t>Unis</w:t>
      </w:r>
      <w:r w:rsidRPr="00266DE1">
        <w:rPr>
          <w:lang w:val="fr-CA"/>
        </w:rPr>
        <w:t>, L.C. 1988, ch. 65, art. 61 et 62).  En remplaçant « radiophonie » par « télécommunication » et en apportant d’autres modifications en 1993, le législateur a fait en sorte que les câblodistributeurs canadiens, qui n’étaient pas visés par le droit de « radiophonie », ainsi que d’autres utilisateurs, paient désormais des redevances : S. </w:t>
      </w:r>
      <w:proofErr w:type="spellStart"/>
      <w:r w:rsidRPr="00266DE1">
        <w:rPr>
          <w:lang w:val="fr-CA"/>
        </w:rPr>
        <w:t>Handa</w:t>
      </w:r>
      <w:proofErr w:type="spellEnd"/>
      <w:r w:rsidRPr="00266DE1">
        <w:rPr>
          <w:lang w:val="fr-CA"/>
        </w:rPr>
        <w:t xml:space="preserve">, </w:t>
      </w:r>
      <w:r w:rsidRPr="00266DE1">
        <w:rPr>
          <w:i/>
          <w:lang w:val="fr-CA"/>
        </w:rPr>
        <w:t xml:space="preserve">Copyright Law in Canada </w:t>
      </w:r>
      <w:r w:rsidRPr="00266DE1">
        <w:rPr>
          <w:lang w:val="fr-CA"/>
        </w:rPr>
        <w:t>(2002), p. 320; D. </w:t>
      </w:r>
      <w:proofErr w:type="spellStart"/>
      <w:r w:rsidRPr="00266DE1">
        <w:rPr>
          <w:lang w:val="fr-CA"/>
        </w:rPr>
        <w:t>Vaver</w:t>
      </w:r>
      <w:proofErr w:type="spellEnd"/>
      <w:r w:rsidRPr="00266DE1">
        <w:rPr>
          <w:lang w:val="fr-CA"/>
        </w:rPr>
        <w:t xml:space="preserve">, </w:t>
      </w:r>
      <w:proofErr w:type="spellStart"/>
      <w:r w:rsidRPr="00266DE1">
        <w:rPr>
          <w:i/>
          <w:lang w:val="fr-CA"/>
        </w:rPr>
        <w:t>Intellectual</w:t>
      </w:r>
      <w:proofErr w:type="spellEnd"/>
      <w:r w:rsidRPr="00266DE1">
        <w:rPr>
          <w:i/>
          <w:lang w:val="fr-CA"/>
        </w:rPr>
        <w:t xml:space="preserve"> </w:t>
      </w:r>
      <w:proofErr w:type="spellStart"/>
      <w:r w:rsidRPr="00266DE1">
        <w:rPr>
          <w:i/>
          <w:lang w:val="fr-CA"/>
        </w:rPr>
        <w:t>Property</w:t>
      </w:r>
      <w:proofErr w:type="spellEnd"/>
      <w:r w:rsidRPr="00266DE1">
        <w:rPr>
          <w:i/>
          <w:lang w:val="fr-CA"/>
        </w:rPr>
        <w:t xml:space="preserve"> Law : Copyright, Patents, Trade-marks</w:t>
      </w:r>
      <w:r w:rsidRPr="00266DE1">
        <w:rPr>
          <w:lang w:val="fr-CA"/>
        </w:rPr>
        <w:t xml:space="preserve"> (2</w:t>
      </w:r>
      <w:r w:rsidRPr="00266DE1">
        <w:rPr>
          <w:vertAlign w:val="superscript"/>
          <w:lang w:val="fr-CA"/>
        </w:rPr>
        <w:t>e</w:t>
      </w:r>
      <w:r w:rsidRPr="00266DE1">
        <w:rPr>
          <w:lang w:val="fr-CA"/>
        </w:rPr>
        <w:t xml:space="preserve"> éd. 2011), p. 90.</w:t>
      </w:r>
    </w:p>
    <w:p w:rsidR="00B77AA4" w:rsidRPr="00266DE1" w:rsidRDefault="00B77AA4" w:rsidP="00B77AA4">
      <w:pPr>
        <w:pStyle w:val="ParaNoNdepar-AltN"/>
        <w:rPr>
          <w:lang w:val="fr-CA"/>
        </w:rPr>
      </w:pPr>
      <w:r w:rsidRPr="00266DE1">
        <w:rPr>
          <w:lang w:val="fr-CA"/>
        </w:rPr>
        <w:t>ESA fait valoir que l’al. 3(1)</w:t>
      </w:r>
      <w:r w:rsidRPr="00266DE1">
        <w:rPr>
          <w:i/>
          <w:lang w:val="fr-CA"/>
        </w:rPr>
        <w:t>f</w:t>
      </w:r>
      <w:r w:rsidRPr="00266DE1">
        <w:rPr>
          <w:lang w:val="fr-CA"/>
        </w:rPr>
        <w:t>) et l’article 11</w:t>
      </w:r>
      <w:r w:rsidRPr="00266DE1">
        <w:rPr>
          <w:i/>
          <w:lang w:val="fr-CA"/>
        </w:rPr>
        <w:t>bis</w:t>
      </w:r>
      <w:r w:rsidRPr="00266DE1">
        <w:rPr>
          <w:lang w:val="fr-CA"/>
        </w:rPr>
        <w:t xml:space="preserve"> de la </w:t>
      </w:r>
      <w:r w:rsidRPr="00082469">
        <w:rPr>
          <w:i/>
          <w:lang w:val="fr-CA"/>
        </w:rPr>
        <w:t>Convention de Berne</w:t>
      </w:r>
      <w:r w:rsidRPr="00266DE1">
        <w:rPr>
          <w:lang w:val="fr-CA"/>
        </w:rPr>
        <w:t xml:space="preserve"> dont il est inspiré ont toujours conféré un droit de </w:t>
      </w:r>
      <w:r w:rsidRPr="00266DE1">
        <w:rPr>
          <w:i/>
          <w:lang w:val="fr-CA"/>
        </w:rPr>
        <w:t>diffusion</w:t>
      </w:r>
      <w:r w:rsidRPr="00266DE1">
        <w:rPr>
          <w:lang w:val="fr-CA"/>
        </w:rPr>
        <w:t>, c’est</w:t>
      </w:r>
      <w:r w:rsidR="008F57C8">
        <w:rPr>
          <w:lang w:val="fr-CA"/>
        </w:rPr>
        <w:t>-</w:t>
      </w:r>
      <w:r w:rsidRPr="00266DE1">
        <w:rPr>
          <w:lang w:val="fr-CA"/>
        </w:rPr>
        <w:t>à-dire celui de [</w:t>
      </w:r>
      <w:r w:rsidRPr="00266DE1">
        <w:rPr>
          <w:smallCaps/>
          <w:lang w:val="fr-CA"/>
        </w:rPr>
        <w:t>traduction]</w:t>
      </w:r>
      <w:r w:rsidRPr="00266DE1">
        <w:rPr>
          <w:lang w:val="fr-CA"/>
        </w:rPr>
        <w:t xml:space="preserve"> « faire parvenir un contenu [soit l’exécution o</w:t>
      </w:r>
      <w:r w:rsidR="00C91395">
        <w:rPr>
          <w:lang w:val="fr-CA"/>
        </w:rPr>
        <w:t xml:space="preserve">u la représentation </w:t>
      </w:r>
      <w:r w:rsidRPr="00266DE1">
        <w:rPr>
          <w:lang w:val="fr-CA"/>
        </w:rPr>
        <w:t>d’une œuvre] au public pour écou</w:t>
      </w:r>
      <w:r w:rsidR="005A5A12">
        <w:rPr>
          <w:lang w:val="fr-CA"/>
        </w:rPr>
        <w:t xml:space="preserve">te ou visionnement immédiats » </w:t>
      </w:r>
      <w:r w:rsidR="00082469">
        <w:rPr>
          <w:lang w:val="fr-CA"/>
        </w:rPr>
        <w:t>(</w:t>
      </w:r>
      <w:proofErr w:type="gramStart"/>
      <w:r w:rsidR="005A5A12">
        <w:rPr>
          <w:lang w:val="fr-CA"/>
        </w:rPr>
        <w:t>m</w:t>
      </w:r>
      <w:r w:rsidR="00927AFB">
        <w:rPr>
          <w:lang w:val="fr-CA"/>
        </w:rPr>
        <w:t>.a</w:t>
      </w:r>
      <w:r w:rsidR="00C91395">
        <w:rPr>
          <w:lang w:val="fr-CA"/>
        </w:rPr>
        <w:t>.,</w:t>
      </w:r>
      <w:proofErr w:type="gramEnd"/>
      <w:r w:rsidR="00C91395">
        <w:rPr>
          <w:lang w:val="fr-CA"/>
        </w:rPr>
        <w:t xml:space="preserve"> </w:t>
      </w:r>
      <w:r w:rsidRPr="00266DE1">
        <w:rPr>
          <w:lang w:val="fr-CA"/>
        </w:rPr>
        <w:t xml:space="preserve">par. 40).  Selon elle, la modification de 1988 (qui a substitué « télécommunication » à « radiophonie ») n’a pas changé la nature essentielle du droit de communication, en ce sens qu’il visait la </w:t>
      </w:r>
      <w:r w:rsidRPr="00266DE1">
        <w:rPr>
          <w:i/>
          <w:lang w:val="fr-CA"/>
        </w:rPr>
        <w:t>diffusion</w:t>
      </w:r>
      <w:r w:rsidRPr="00266DE1">
        <w:rPr>
          <w:lang w:val="fr-CA"/>
        </w:rPr>
        <w:t>.  Dans la version anglaise, le verbe « </w:t>
      </w:r>
      <w:proofErr w:type="spellStart"/>
      <w:r w:rsidRPr="00266DE1">
        <w:rPr>
          <w:i/>
          <w:lang w:val="fr-CA"/>
        </w:rPr>
        <w:t>communicate</w:t>
      </w:r>
      <w:proofErr w:type="spellEnd"/>
      <w:r w:rsidRPr="00266DE1">
        <w:rPr>
          <w:lang w:val="fr-CA"/>
        </w:rPr>
        <w:t> » est demeuré, mais les moyens par lesquels s’opère la communic</w:t>
      </w:r>
      <w:r w:rsidR="00C91395">
        <w:rPr>
          <w:lang w:val="fr-CA"/>
        </w:rPr>
        <w:t xml:space="preserve">ation ont été élargis </w:t>
      </w:r>
      <w:r w:rsidR="00C91395">
        <w:rPr>
          <w:lang w:val="fr-CA"/>
        </w:rPr>
        <w:lastRenderedPageBreak/>
        <w:t>(</w:t>
      </w:r>
      <w:proofErr w:type="gramStart"/>
      <w:r w:rsidR="00C91395">
        <w:rPr>
          <w:lang w:val="fr-CA"/>
        </w:rPr>
        <w:t>m.a.,</w:t>
      </w:r>
      <w:proofErr w:type="gramEnd"/>
      <w:r w:rsidR="00C91395">
        <w:rPr>
          <w:lang w:val="fr-CA"/>
        </w:rPr>
        <w:t xml:space="preserve"> </w:t>
      </w:r>
      <w:r w:rsidRPr="00266DE1">
        <w:rPr>
          <w:lang w:val="fr-CA"/>
        </w:rPr>
        <w:t>par. 52).  Dans la version française, le verbe « transmettre » qui figurait à l’al. 3(1)</w:t>
      </w:r>
      <w:r w:rsidRPr="00266DE1">
        <w:rPr>
          <w:i/>
          <w:lang w:val="fr-CA"/>
        </w:rPr>
        <w:t>f</w:t>
      </w:r>
      <w:r w:rsidRPr="00C91395">
        <w:rPr>
          <w:lang w:val="fr-CA"/>
        </w:rPr>
        <w:t>)</w:t>
      </w:r>
      <w:r w:rsidRPr="00266DE1">
        <w:rPr>
          <w:lang w:val="fr-CA"/>
        </w:rPr>
        <w:t xml:space="preserve"> avant la modification de 1988 a été </w:t>
      </w:r>
      <w:proofErr w:type="gramStart"/>
      <w:r w:rsidRPr="00266DE1">
        <w:rPr>
          <w:lang w:val="fr-CA"/>
        </w:rPr>
        <w:t>remplacé</w:t>
      </w:r>
      <w:proofErr w:type="gramEnd"/>
      <w:r w:rsidRPr="00266DE1">
        <w:rPr>
          <w:lang w:val="fr-CA"/>
        </w:rPr>
        <w:t xml:space="preserve"> par « communiquer ».</w:t>
      </w:r>
    </w:p>
    <w:p w:rsidR="00B77AA4" w:rsidRPr="00266DE1" w:rsidRDefault="00B77AA4" w:rsidP="00B77AA4">
      <w:pPr>
        <w:pStyle w:val="ParaNoNdepar-AltN"/>
        <w:rPr>
          <w:lang w:val="fr-CA"/>
        </w:rPr>
      </w:pPr>
      <w:r w:rsidRPr="00266DE1">
        <w:rPr>
          <w:lang w:val="fr-CA"/>
        </w:rPr>
        <w:t xml:space="preserve">L’existence d’un lien historique entre le droit d’exécution ou de représentation en public et le droit de communication au public ne fait guère de doute : </w:t>
      </w:r>
    </w:p>
    <w:p w:rsidR="00B77AA4" w:rsidRPr="00266DE1" w:rsidRDefault="00B77AA4" w:rsidP="00C91395">
      <w:pPr>
        <w:pStyle w:val="Citation-AltC"/>
        <w:spacing w:after="240"/>
        <w:ind w:hanging="1166"/>
        <w:contextualSpacing w:val="0"/>
        <w:rPr>
          <w:lang w:val="fr-CA"/>
        </w:rPr>
      </w:pPr>
      <w:r>
        <w:rPr>
          <w:lang w:val="fr-CA"/>
        </w:rPr>
        <w:tab/>
      </w:r>
      <w:r w:rsidR="00082469">
        <w:rPr>
          <w:lang w:val="fr-CA"/>
        </w:rPr>
        <w:t>. . . c</w:t>
      </w:r>
      <w:r w:rsidRPr="00266DE1">
        <w:rPr>
          <w:lang w:val="fr-CA"/>
        </w:rPr>
        <w:t>omme l’exécution devant un auditoire a été l’une des premières formes d’exploitation protégée par le droit d’auteur, il était logique de créer un droit afin de fournir une protection lorsque l’exécution avait lieu à distance grâce aux ondes hertziennes (radio) et aux autres technologies de communication inventées depuis (télévision, câble, satellite et Internet).</w:t>
      </w:r>
    </w:p>
    <w:p w:rsidR="00B77AA4" w:rsidRPr="00266DE1" w:rsidRDefault="00B77AA4" w:rsidP="00B77AA4">
      <w:pPr>
        <w:pStyle w:val="Citation-AltC"/>
        <w:ind w:hanging="1166"/>
        <w:rPr>
          <w:lang w:val="fr-CA"/>
        </w:rPr>
      </w:pPr>
      <w:r>
        <w:rPr>
          <w:lang w:val="fr-CA"/>
        </w:rPr>
        <w:tab/>
      </w:r>
      <w:r w:rsidRPr="00266DE1">
        <w:rPr>
          <w:lang w:val="fr-CA"/>
        </w:rPr>
        <w:t>(</w:t>
      </w:r>
      <w:r w:rsidR="00C91395" w:rsidRPr="00266DE1">
        <w:rPr>
          <w:lang w:val="fr-CA"/>
        </w:rPr>
        <w:t xml:space="preserve">D. J. Gervais </w:t>
      </w:r>
      <w:r w:rsidR="00C91395">
        <w:rPr>
          <w:lang w:val="fr-CA"/>
        </w:rPr>
        <w:t xml:space="preserve"> et E. F. Judge</w:t>
      </w:r>
      <w:r w:rsidR="008F57C8">
        <w:rPr>
          <w:lang w:val="fr-CA"/>
        </w:rPr>
        <w:t>,</w:t>
      </w:r>
      <w:r w:rsidR="00C91395">
        <w:rPr>
          <w:lang w:val="fr-CA"/>
        </w:rPr>
        <w:t xml:space="preserve"> avec la collaboration de M. </w:t>
      </w:r>
      <w:proofErr w:type="spellStart"/>
      <w:r w:rsidR="00C91395">
        <w:rPr>
          <w:lang w:val="fr-CA"/>
        </w:rPr>
        <w:t>Goudreau</w:t>
      </w:r>
      <w:proofErr w:type="spellEnd"/>
      <w:r w:rsidRPr="00266DE1">
        <w:rPr>
          <w:lang w:val="fr-CA"/>
        </w:rPr>
        <w:t xml:space="preserve">, </w:t>
      </w:r>
      <w:r w:rsidRPr="00266DE1">
        <w:rPr>
          <w:i/>
          <w:lang w:val="fr-CA"/>
        </w:rPr>
        <w:t>Le droit de la propriété intellectuelle</w:t>
      </w:r>
      <w:r w:rsidRPr="00266DE1">
        <w:rPr>
          <w:lang w:val="fr-CA"/>
        </w:rPr>
        <w:t xml:space="preserve"> (</w:t>
      </w:r>
      <w:r w:rsidR="00C91395">
        <w:rPr>
          <w:lang w:val="fr-CA"/>
        </w:rPr>
        <w:t>2006)</w:t>
      </w:r>
      <w:r w:rsidRPr="00266DE1">
        <w:rPr>
          <w:lang w:val="fr-CA"/>
        </w:rPr>
        <w:t xml:space="preserve">, p. 53) </w:t>
      </w:r>
    </w:p>
    <w:p w:rsidR="00B77AA4" w:rsidRPr="00266DE1" w:rsidRDefault="00B77AA4" w:rsidP="00B77AA4">
      <w:pPr>
        <w:pStyle w:val="ParaNoNdepar-AltN"/>
        <w:rPr>
          <w:lang w:val="fr-CA"/>
        </w:rPr>
      </w:pPr>
      <w:r w:rsidRPr="00266DE1">
        <w:rPr>
          <w:lang w:val="fr-CA"/>
        </w:rPr>
        <w:t xml:space="preserve">La législation a évolué en phase avec la technologie.  En 1988, vu l’importance acquise par la câblodistribution, il allait de soi que le droit de communication devait viser ce mode de télécommunication.  </w:t>
      </w:r>
    </w:p>
    <w:p w:rsidR="00B77AA4" w:rsidRPr="00266DE1" w:rsidRDefault="00B77AA4" w:rsidP="00B77AA4">
      <w:pPr>
        <w:pStyle w:val="ParaNoNdepar-AltN"/>
        <w:tabs>
          <w:tab w:val="clear" w:pos="1152"/>
          <w:tab w:val="left" w:pos="1166"/>
        </w:tabs>
        <w:rPr>
          <w:lang w:val="fr-CA"/>
        </w:rPr>
      </w:pPr>
      <w:r w:rsidRPr="00266DE1">
        <w:rPr>
          <w:lang w:val="fr-CA"/>
        </w:rPr>
        <w:t xml:space="preserve">Bien que l’avènement du câble, surtout, ait pu être à son origine, la modification de 1988 ne visait pas uniquement à englober les communications par câble; le nouveau libellé neutre devait s’appliquer aux technologies encore inconnues.  Le législateur a adopté le terme neutre « télécommunication » et cessé de faire mention de la diffusion traditionnelle.  Le fait que, en 1988, le législateur n’a pas </w:t>
      </w:r>
      <w:r w:rsidRPr="00266DE1">
        <w:rPr>
          <w:lang w:val="fr-CA"/>
        </w:rPr>
        <w:lastRenderedPageBreak/>
        <w:t xml:space="preserve">prévu l’évolution technologique </w:t>
      </w:r>
      <w:r w:rsidRPr="00266DE1">
        <w:rPr>
          <w:rFonts w:cs="Times New Roman"/>
          <w:lang w:val="fr-CA"/>
        </w:rPr>
        <w:t>—</w:t>
      </w:r>
      <w:r w:rsidRPr="00266DE1">
        <w:rPr>
          <w:lang w:val="fr-CA"/>
        </w:rPr>
        <w:t xml:space="preserve"> ou ne pouvait pas la prévoir </w:t>
      </w:r>
      <w:r w:rsidRPr="00266DE1">
        <w:rPr>
          <w:rFonts w:cs="Times New Roman"/>
          <w:lang w:val="fr-CA"/>
        </w:rPr>
        <w:t xml:space="preserve">— </w:t>
      </w:r>
      <w:r w:rsidRPr="00266DE1">
        <w:rPr>
          <w:lang w:val="fr-CA"/>
        </w:rPr>
        <w:t xml:space="preserve">ne saurait limiter l’application du droit de communication à une technologie nouvelle.  </w:t>
      </w:r>
    </w:p>
    <w:p w:rsidR="00B77AA4" w:rsidRPr="00266DE1" w:rsidRDefault="00B77AA4" w:rsidP="00B77AA4">
      <w:pPr>
        <w:pStyle w:val="ParaNoNdepar-AltN"/>
        <w:tabs>
          <w:tab w:val="clear" w:pos="1152"/>
          <w:tab w:val="left" w:pos="1166"/>
        </w:tabs>
        <w:rPr>
          <w:lang w:val="fr-CA"/>
        </w:rPr>
      </w:pPr>
      <w:r w:rsidRPr="00266DE1">
        <w:rPr>
          <w:lang w:val="fr-CA"/>
        </w:rPr>
        <w:t>Ainsi, l’application de longue date de l’al. 3(1)</w:t>
      </w:r>
      <w:r w:rsidRPr="00266DE1">
        <w:rPr>
          <w:i/>
          <w:lang w:val="fr-CA"/>
        </w:rPr>
        <w:t>f</w:t>
      </w:r>
      <w:r w:rsidRPr="00266DE1">
        <w:rPr>
          <w:lang w:val="fr-CA"/>
        </w:rPr>
        <w:t>) aux entreprises de (radio ou télé) diffusion ne justifie pas de voir dans la Loi des restrictions implicites qui ne ressortent pas de son libellé actuel et qui, même, le contredisent.  En particulier, cette association historique n’étaye pas la thèse d’ESA voulant que la Loi établisse implicitement l’exigence substantielle que la transmission [</w:t>
      </w:r>
      <w:r w:rsidRPr="00266DE1">
        <w:rPr>
          <w:smallCaps/>
          <w:lang w:val="fr-CA"/>
        </w:rPr>
        <w:t>traduction</w:t>
      </w:r>
      <w:r w:rsidRPr="00266DE1">
        <w:rPr>
          <w:lang w:val="fr-CA"/>
        </w:rPr>
        <w:t xml:space="preserve">] « revête une forme perceptible par l’être humain pour écoute </w:t>
      </w:r>
      <w:r w:rsidR="003E72C7">
        <w:rPr>
          <w:lang w:val="fr-CA"/>
        </w:rPr>
        <w:t>ou visualisation immédiates » (</w:t>
      </w:r>
      <w:proofErr w:type="gramStart"/>
      <w:r w:rsidR="003E72C7">
        <w:rPr>
          <w:lang w:val="fr-CA"/>
        </w:rPr>
        <w:t>m.a</w:t>
      </w:r>
      <w:r w:rsidRPr="00266DE1">
        <w:rPr>
          <w:lang w:val="fr-CA"/>
        </w:rPr>
        <w:t>.,</w:t>
      </w:r>
      <w:proofErr w:type="gramEnd"/>
      <w:r w:rsidRPr="00266DE1">
        <w:rPr>
          <w:lang w:val="fr-CA"/>
        </w:rPr>
        <w:t xml:space="preserve"> par. 74).  Certes, la modification de 1988 (remplacement de « radiophonie » par « télécommunication ») s’attachait aux </w:t>
      </w:r>
      <w:r w:rsidRPr="00266DE1">
        <w:rPr>
          <w:i/>
          <w:lang w:val="fr-CA"/>
        </w:rPr>
        <w:t>moyens</w:t>
      </w:r>
      <w:r w:rsidRPr="00266DE1">
        <w:rPr>
          <w:lang w:val="fr-CA"/>
        </w:rPr>
        <w:t xml:space="preserve"> techniques de la communication au public, mais rien ne permet de conclure que l’al. 3(1)</w:t>
      </w:r>
      <w:r w:rsidRPr="00266DE1">
        <w:rPr>
          <w:i/>
          <w:lang w:val="fr-CA"/>
        </w:rPr>
        <w:t>f</w:t>
      </w:r>
      <w:r w:rsidRPr="00266DE1">
        <w:rPr>
          <w:lang w:val="fr-CA"/>
        </w:rPr>
        <w:t xml:space="preserve">) ne peut également s’appliquer aux nouvelles technologies dont le fonctionnement diffère de celui de la diffusion traditionnelle, y compris la communication qui génère une copie durable de l’œuvre que l’utilisateur peut consulter ultérieurement.  La question de savoir si l’œuvre transmise dans Internet est perceptible immédiatement ou à un moment ultérieur ou si la technologie utilisée suppose ou non la production d’une copie temporaire, comme dans le cas de la transmission en continu, ou d’une copie permanente, n’est pas pertinente pour déterminer s’il y a communication de l’œuvre et si cette dernière sera visionnée ou écoutée par le destinataire ou si elle est susceptible de l’être.  Comme le dit la Cour dans </w:t>
      </w:r>
      <w:r w:rsidRPr="00266DE1">
        <w:rPr>
          <w:i/>
          <w:lang w:val="fr-CA"/>
        </w:rPr>
        <w:t>SOCAN c. ACFI</w:t>
      </w:r>
      <w:r w:rsidRPr="00266DE1">
        <w:rPr>
          <w:lang w:val="fr-CA"/>
        </w:rPr>
        <w:t>, par. 45 :</w:t>
      </w:r>
    </w:p>
    <w:p w:rsidR="00B77AA4" w:rsidRPr="00266DE1" w:rsidRDefault="00B77AA4" w:rsidP="003E72C7">
      <w:pPr>
        <w:pStyle w:val="Citation-AltC"/>
        <w:tabs>
          <w:tab w:val="left" w:pos="1620"/>
        </w:tabs>
        <w:ind w:left="1168" w:hanging="1168"/>
        <w:rPr>
          <w:lang w:val="fr-CA"/>
        </w:rPr>
      </w:pPr>
      <w:r w:rsidRPr="00266DE1">
        <w:rPr>
          <w:lang w:val="fr-FR"/>
        </w:rPr>
        <w:lastRenderedPageBreak/>
        <w:tab/>
        <w:t>À l’issue de la transmission, l’utilisateur final a en sa possession une œuvre musicale qu’il n’avait pas auparavant.  L’œuvre a nécessairement été communiquée</w:t>
      </w:r>
      <w:r w:rsidRPr="00266DE1">
        <w:rPr>
          <w:lang w:val="fr-CA"/>
        </w:rPr>
        <w:t xml:space="preserve"> </w:t>
      </w:r>
      <w:r w:rsidR="003E72C7">
        <w:rPr>
          <w:lang w:val="fr-CA"/>
        </w:rPr>
        <w:t>[. . .]</w:t>
      </w:r>
      <w:r w:rsidRPr="00266DE1">
        <w:rPr>
          <w:lang w:val="fr-CA"/>
        </w:rPr>
        <w:t xml:space="preserve"> </w:t>
      </w:r>
      <w:r w:rsidRPr="00266DE1">
        <w:rPr>
          <w:lang w:val="fr-FR"/>
        </w:rPr>
        <w:t xml:space="preserve">Conclure en sens contraire irait </w:t>
      </w:r>
      <w:r w:rsidR="003E72C7">
        <w:rPr>
          <w:lang w:val="fr-FR"/>
        </w:rPr>
        <w:t>[</w:t>
      </w:r>
      <w:r w:rsidRPr="00266DE1">
        <w:rPr>
          <w:lang w:val="fr-FR"/>
        </w:rPr>
        <w:t>. . .</w:t>
      </w:r>
      <w:r w:rsidR="003E72C7">
        <w:rPr>
          <w:lang w:val="fr-FR"/>
        </w:rPr>
        <w:t>]</w:t>
      </w:r>
      <w:r w:rsidRPr="00266DE1">
        <w:rPr>
          <w:lang w:val="fr-FR"/>
        </w:rPr>
        <w:t xml:space="preserve"> à l’encontre du sens ordinaire des </w:t>
      </w:r>
      <w:proofErr w:type="gramStart"/>
      <w:r w:rsidRPr="00266DE1">
        <w:rPr>
          <w:lang w:val="fr-FR"/>
        </w:rPr>
        <w:t>mots</w:t>
      </w:r>
      <w:r w:rsidR="003E72C7">
        <w:rPr>
          <w:lang w:val="fr-CA"/>
        </w:rPr>
        <w:t xml:space="preserve"> .</w:t>
      </w:r>
      <w:proofErr w:type="gramEnd"/>
      <w:r w:rsidR="003E72C7">
        <w:rPr>
          <w:lang w:val="fr-CA"/>
        </w:rPr>
        <w:t> . . </w:t>
      </w:r>
    </w:p>
    <w:p w:rsidR="00B77AA4" w:rsidRPr="00266DE1" w:rsidRDefault="00B77AA4" w:rsidP="003E72C7">
      <w:pPr>
        <w:pStyle w:val="TitleTitre-AltT"/>
        <w:tabs>
          <w:tab w:val="clear" w:pos="360"/>
          <w:tab w:val="left" w:pos="540"/>
        </w:tabs>
        <w:ind w:left="1170" w:hanging="1620"/>
        <w:rPr>
          <w:lang w:val="fr-CA"/>
        </w:rPr>
      </w:pPr>
      <w:r w:rsidRPr="00266DE1">
        <w:rPr>
          <w:lang w:val="fr-CA"/>
        </w:rPr>
        <w:tab/>
        <w:t>(6)</w:t>
      </w:r>
      <w:r w:rsidRPr="00266DE1">
        <w:rPr>
          <w:lang w:val="fr-CA"/>
        </w:rPr>
        <w:tab/>
      </w:r>
      <w:r w:rsidRPr="00266DE1">
        <w:rPr>
          <w:u w:val="single"/>
          <w:lang w:val="fr-CA"/>
        </w:rPr>
        <w:t>La jurisprudence américaine</w:t>
      </w:r>
    </w:p>
    <w:p w:rsidR="00B77AA4" w:rsidRPr="00266DE1" w:rsidRDefault="00B77AA4" w:rsidP="00B77AA4">
      <w:pPr>
        <w:pStyle w:val="ParaNoNdepar-AltN"/>
        <w:rPr>
          <w:lang w:val="fr-CA"/>
        </w:rPr>
      </w:pPr>
      <w:r w:rsidRPr="00266DE1">
        <w:rPr>
          <w:lang w:val="fr-CA"/>
        </w:rPr>
        <w:t xml:space="preserve">ESA invoque l’arrêt </w:t>
      </w:r>
      <w:r w:rsidRPr="00266DE1">
        <w:rPr>
          <w:i/>
          <w:lang w:val="fr-CA"/>
        </w:rPr>
        <w:t xml:space="preserve">United States c. American Society of </w:t>
      </w:r>
      <w:proofErr w:type="spellStart"/>
      <w:r w:rsidRPr="00266DE1">
        <w:rPr>
          <w:i/>
          <w:lang w:val="fr-CA"/>
        </w:rPr>
        <w:t>Composers</w:t>
      </w:r>
      <w:proofErr w:type="spellEnd"/>
      <w:r w:rsidRPr="00266DE1">
        <w:rPr>
          <w:i/>
          <w:lang w:val="fr-CA"/>
        </w:rPr>
        <w:t xml:space="preserve">, </w:t>
      </w:r>
      <w:proofErr w:type="spellStart"/>
      <w:r w:rsidRPr="00266DE1">
        <w:rPr>
          <w:i/>
          <w:lang w:val="fr-CA"/>
        </w:rPr>
        <w:t>Authors</w:t>
      </w:r>
      <w:proofErr w:type="spellEnd"/>
      <w:r w:rsidRPr="00266DE1">
        <w:rPr>
          <w:i/>
          <w:lang w:val="fr-CA"/>
        </w:rPr>
        <w:t xml:space="preserve"> and </w:t>
      </w:r>
      <w:proofErr w:type="spellStart"/>
      <w:r w:rsidRPr="00266DE1">
        <w:rPr>
          <w:i/>
          <w:lang w:val="fr-CA"/>
        </w:rPr>
        <w:t>Publishers</w:t>
      </w:r>
      <w:proofErr w:type="spellEnd"/>
      <w:r w:rsidRPr="00266DE1">
        <w:rPr>
          <w:lang w:val="fr-CA"/>
        </w:rPr>
        <w:t>, 627 F.3d 64 (2010) (« </w:t>
      </w:r>
      <w:r w:rsidRPr="00266DE1">
        <w:rPr>
          <w:i/>
          <w:lang w:val="fr-CA"/>
        </w:rPr>
        <w:t>U.S. c. ASCAP </w:t>
      </w:r>
      <w:r w:rsidRPr="00266DE1">
        <w:rPr>
          <w:lang w:val="fr-CA"/>
        </w:rPr>
        <w:t>»)</w:t>
      </w:r>
      <w:r w:rsidR="008F57C8">
        <w:rPr>
          <w:lang w:val="fr-CA"/>
        </w:rPr>
        <w:t>,</w:t>
      </w:r>
      <w:r w:rsidRPr="00266DE1">
        <w:rPr>
          <w:lang w:val="fr-CA"/>
        </w:rPr>
        <w:t xml:space="preserve"> </w:t>
      </w:r>
      <w:proofErr w:type="spellStart"/>
      <w:r w:rsidRPr="00266DE1">
        <w:rPr>
          <w:i/>
          <w:lang w:val="fr-CA"/>
        </w:rPr>
        <w:t>certiorari</w:t>
      </w:r>
      <w:proofErr w:type="spellEnd"/>
      <w:r w:rsidRPr="00266DE1">
        <w:rPr>
          <w:lang w:val="fr-CA"/>
        </w:rPr>
        <w:t xml:space="preserve"> re</w:t>
      </w:r>
      <w:r w:rsidR="008F57C8">
        <w:rPr>
          <w:lang w:val="fr-CA"/>
        </w:rPr>
        <w:t>fusé</w:t>
      </w:r>
      <w:r w:rsidR="00070297">
        <w:rPr>
          <w:lang w:val="fr-CA"/>
        </w:rPr>
        <w:t xml:space="preserve"> (C.S.</w:t>
      </w:r>
      <w:r w:rsidR="00571C11">
        <w:rPr>
          <w:lang w:val="fr-CA"/>
        </w:rPr>
        <w:t>É.-U., 3 octobre 2011</w:t>
      </w:r>
      <w:r w:rsidRPr="00266DE1">
        <w:rPr>
          <w:lang w:val="fr-CA"/>
        </w:rPr>
        <w:t xml:space="preserve">, </w:t>
      </w:r>
      <w:r w:rsidR="00571C11">
        <w:rPr>
          <w:lang w:val="fr-CA"/>
        </w:rPr>
        <w:t>n</w:t>
      </w:r>
      <w:r w:rsidR="00571C11" w:rsidRPr="00571C11">
        <w:rPr>
          <w:vertAlign w:val="superscript"/>
          <w:lang w:val="fr-CA"/>
        </w:rPr>
        <w:t>o</w:t>
      </w:r>
      <w:r w:rsidR="00571C11">
        <w:rPr>
          <w:lang w:val="fr-CA"/>
        </w:rPr>
        <w:t xml:space="preserve"> 10-1337), </w:t>
      </w:r>
      <w:r w:rsidRPr="00266DE1">
        <w:rPr>
          <w:lang w:val="fr-CA"/>
        </w:rPr>
        <w:t xml:space="preserve">où la Cour </w:t>
      </w:r>
      <w:r w:rsidR="00571C11">
        <w:rPr>
          <w:lang w:val="fr-CA"/>
        </w:rPr>
        <w:t xml:space="preserve">d’appel </w:t>
      </w:r>
      <w:r w:rsidRPr="00266DE1">
        <w:rPr>
          <w:lang w:val="fr-CA"/>
        </w:rPr>
        <w:t xml:space="preserve">des </w:t>
      </w:r>
      <w:r w:rsidR="00571C11">
        <w:rPr>
          <w:lang w:val="fr-CA"/>
        </w:rPr>
        <w:t>États-Unis pour le deuxième circuit</w:t>
      </w:r>
      <w:r w:rsidRPr="00266DE1">
        <w:rPr>
          <w:lang w:val="fr-CA"/>
        </w:rPr>
        <w:t xml:space="preserve"> statue que le téléchargement d’une copie de l’œuvre n’est pas visé par le droit d’exécution ou de représentation en public pour l’application de la </w:t>
      </w:r>
      <w:r w:rsidRPr="00266DE1">
        <w:rPr>
          <w:i/>
          <w:lang w:val="fr-CA"/>
        </w:rPr>
        <w:t xml:space="preserve">Copyright </w:t>
      </w:r>
      <w:proofErr w:type="spellStart"/>
      <w:r w:rsidRPr="00266DE1">
        <w:rPr>
          <w:i/>
          <w:lang w:val="fr-CA"/>
        </w:rPr>
        <w:t>Act</w:t>
      </w:r>
      <w:proofErr w:type="spellEnd"/>
      <w:r w:rsidRPr="00266DE1">
        <w:rPr>
          <w:lang w:val="fr-CA"/>
        </w:rPr>
        <w:t xml:space="preserve">, 17 U.S.C. </w:t>
      </w:r>
      <w:r w:rsidRPr="00266DE1">
        <w:rPr>
          <w:rFonts w:cs="Times New Roman"/>
          <w:lang w:val="fr-CA"/>
        </w:rPr>
        <w:t>§§</w:t>
      </w:r>
      <w:r w:rsidR="003E72C7">
        <w:rPr>
          <w:rFonts w:cs="Times New Roman"/>
          <w:lang w:val="fr-CA"/>
        </w:rPr>
        <w:t xml:space="preserve"> </w:t>
      </w:r>
      <w:r w:rsidRPr="00266DE1">
        <w:rPr>
          <w:lang w:val="fr-CA"/>
        </w:rPr>
        <w:t>101 et 106(4).</w:t>
      </w:r>
    </w:p>
    <w:p w:rsidR="00B77AA4" w:rsidRPr="00266DE1" w:rsidRDefault="00B77AA4" w:rsidP="00B77AA4">
      <w:pPr>
        <w:pStyle w:val="ParaNoNdepar-AltN"/>
        <w:rPr>
          <w:lang w:val="fr-CA"/>
        </w:rPr>
      </w:pPr>
      <w:r w:rsidRPr="00266DE1">
        <w:rPr>
          <w:lang w:val="fr-CA"/>
        </w:rPr>
        <w:t>Cette décision n’est d’aucune utilité à ESA.  Aux États</w:t>
      </w:r>
      <w:r w:rsidR="002F38C1">
        <w:rPr>
          <w:lang w:val="fr-CA"/>
        </w:rPr>
        <w:t>-</w:t>
      </w:r>
      <w:r w:rsidRPr="00266DE1">
        <w:rPr>
          <w:lang w:val="fr-CA"/>
        </w:rPr>
        <w:t xml:space="preserve">Unis, la loi ne confère pas au titulaire du droit d’auteur le droit exclusif de communiquer son œuvre au public.  Elle lui reconnaît plutôt celui de l’exécuter ou de la représenter en public (17 U.S.C. </w:t>
      </w:r>
      <w:r w:rsidRPr="00266DE1">
        <w:rPr>
          <w:rFonts w:cs="Times New Roman"/>
          <w:lang w:val="fr-CA"/>
        </w:rPr>
        <w:t>§</w:t>
      </w:r>
      <w:r w:rsidRPr="00266DE1">
        <w:rPr>
          <w:lang w:val="fr-CA"/>
        </w:rPr>
        <w:t xml:space="preserve"> 106(4)), ce qui comprend aussi le droit de radiodiffuser ou de télédiffuser à l’intention d’un public qui se trouve à distance.  C’est là une différence fondamentale d’avec le droit de communiquer une œuvre par télécommunication prévu à l’al. 3(1)</w:t>
      </w:r>
      <w:r w:rsidRPr="00266DE1">
        <w:rPr>
          <w:i/>
          <w:lang w:val="fr-CA"/>
        </w:rPr>
        <w:t>f</w:t>
      </w:r>
      <w:r w:rsidRPr="00266DE1">
        <w:rPr>
          <w:lang w:val="fr-CA"/>
        </w:rPr>
        <w:t xml:space="preserve">) de la loi canadienne, comme je l’explique précédemment.  Les deux ne peuvent être tenus pour équivalents.  </w:t>
      </w:r>
    </w:p>
    <w:p w:rsidR="00B77AA4" w:rsidRPr="00266DE1" w:rsidRDefault="00B77AA4" w:rsidP="00B77AA4">
      <w:pPr>
        <w:pStyle w:val="ParaNoNdepar-AltN"/>
        <w:rPr>
          <w:lang w:val="fr-CA"/>
        </w:rPr>
      </w:pPr>
      <w:r w:rsidRPr="00266DE1">
        <w:rPr>
          <w:lang w:val="fr-CA"/>
        </w:rPr>
        <w:t xml:space="preserve">Notre Cour a reconnu l’existence de différences importantes entre les lois canadienne et américaine sur le droit d’auteur en ce qui concerne tant le libellé que </w:t>
      </w:r>
      <w:r w:rsidRPr="00266DE1">
        <w:rPr>
          <w:lang w:val="fr-CA"/>
        </w:rPr>
        <w:lastRenderedPageBreak/>
        <w:t>les principes sous</w:t>
      </w:r>
      <w:r w:rsidR="002F38C1">
        <w:rPr>
          <w:lang w:val="fr-CA"/>
        </w:rPr>
        <w:t>-</w:t>
      </w:r>
      <w:r w:rsidRPr="00266DE1">
        <w:rPr>
          <w:lang w:val="fr-CA"/>
        </w:rPr>
        <w:t>jacents.  Elle a fait la mise en garde suivante : « [l]</w:t>
      </w:r>
      <w:r w:rsidRPr="00266DE1">
        <w:rPr>
          <w:lang w:val="fr-FR"/>
        </w:rPr>
        <w:t xml:space="preserve">a jurisprudence américaine doit </w:t>
      </w:r>
      <w:r w:rsidR="003E72C7">
        <w:rPr>
          <w:lang w:val="fr-FR"/>
        </w:rPr>
        <w:t>[</w:t>
      </w:r>
      <w:r w:rsidRPr="00266DE1">
        <w:rPr>
          <w:lang w:val="fr-FR"/>
        </w:rPr>
        <w:t>. . .</w:t>
      </w:r>
      <w:r w:rsidR="003E72C7">
        <w:rPr>
          <w:lang w:val="fr-FR"/>
        </w:rPr>
        <w:t>]</w:t>
      </w:r>
      <w:r w:rsidRPr="00266DE1">
        <w:rPr>
          <w:lang w:val="fr-FR"/>
        </w:rPr>
        <w:t xml:space="preserve"> être analysée avec prudence même si elle porte sur des faits semblables »</w:t>
      </w:r>
      <w:r w:rsidRPr="00266DE1">
        <w:rPr>
          <w:lang w:val="fr-CA"/>
        </w:rPr>
        <w:t xml:space="preserve"> (voir </w:t>
      </w:r>
      <w:r w:rsidRPr="00266DE1">
        <w:rPr>
          <w:i/>
          <w:iCs/>
          <w:lang w:val="fr-CA"/>
        </w:rPr>
        <w:t>Compo Co. c. Blue Crest Music Inc.</w:t>
      </w:r>
      <w:r w:rsidRPr="00266DE1">
        <w:rPr>
          <w:iCs/>
          <w:lang w:val="fr-CA"/>
        </w:rPr>
        <w:t>,</w:t>
      </w:r>
      <w:r w:rsidRPr="00266DE1">
        <w:rPr>
          <w:i/>
          <w:iCs/>
          <w:lang w:val="fr-CA"/>
        </w:rPr>
        <w:t xml:space="preserve"> </w:t>
      </w:r>
      <w:r w:rsidRPr="00266DE1">
        <w:rPr>
          <w:lang w:val="fr-CA"/>
        </w:rPr>
        <w:t xml:space="preserve">p. 367).  Les seules différences de formulation rendent inutile le recours à la jurisprudence américaine.  En fait, interpréter les dispositions canadiennes sur le droit d’auteur à la lumière de la jurisprudence américaine reviendrait, dans la présente affaire, à modifier leur teneur.  </w:t>
      </w:r>
    </w:p>
    <w:p w:rsidR="00B77AA4" w:rsidRPr="00266DE1" w:rsidRDefault="00B77AA4" w:rsidP="003E72C7">
      <w:pPr>
        <w:pStyle w:val="TitleTitre-AltT"/>
        <w:tabs>
          <w:tab w:val="clear" w:pos="360"/>
          <w:tab w:val="left" w:pos="540"/>
        </w:tabs>
        <w:ind w:left="1170" w:hanging="1620"/>
        <w:rPr>
          <w:lang w:val="fr-CA"/>
        </w:rPr>
      </w:pPr>
      <w:r w:rsidRPr="00266DE1">
        <w:rPr>
          <w:lang w:val="fr-CA"/>
        </w:rPr>
        <w:tab/>
        <w:t>(7)</w:t>
      </w:r>
      <w:r w:rsidRPr="00266DE1">
        <w:rPr>
          <w:lang w:val="fr-CA"/>
        </w:rPr>
        <w:tab/>
      </w:r>
      <w:r w:rsidRPr="00266DE1">
        <w:rPr>
          <w:u w:val="single"/>
          <w:lang w:val="fr-CA"/>
        </w:rPr>
        <w:t>Le but de la communication n’est pas déterminant aux fins de décider si l’al</w:t>
      </w:r>
      <w:r w:rsidR="002734A9">
        <w:rPr>
          <w:u w:val="single"/>
          <w:lang w:val="fr-CA"/>
        </w:rPr>
        <w:t>.</w:t>
      </w:r>
      <w:r w:rsidRPr="00266DE1">
        <w:rPr>
          <w:u w:val="single"/>
          <w:lang w:val="fr-CA"/>
        </w:rPr>
        <w:t> 3(1)</w:t>
      </w:r>
      <w:r w:rsidRPr="00266DE1">
        <w:rPr>
          <w:i/>
          <w:u w:val="single"/>
          <w:lang w:val="fr-CA"/>
        </w:rPr>
        <w:t>f</w:t>
      </w:r>
      <w:r w:rsidRPr="00266DE1">
        <w:rPr>
          <w:u w:val="single"/>
          <w:lang w:val="fr-CA"/>
        </w:rPr>
        <w:t>) s’applique ou non</w:t>
      </w:r>
    </w:p>
    <w:p w:rsidR="00B77AA4" w:rsidRPr="00266DE1" w:rsidRDefault="00B77AA4" w:rsidP="00B77AA4">
      <w:pPr>
        <w:pStyle w:val="ParaNoNdepar-AltN"/>
        <w:rPr>
          <w:lang w:val="fr-CA"/>
        </w:rPr>
      </w:pPr>
      <w:r w:rsidRPr="00266DE1">
        <w:rPr>
          <w:lang w:val="fr-CA"/>
        </w:rPr>
        <w:t xml:space="preserve">Lorsqu’elle fait valoir que, dans le cas d’un téléchargement, la transmission vise seulement à </w:t>
      </w:r>
      <w:r w:rsidRPr="00266DE1">
        <w:rPr>
          <w:i/>
          <w:lang w:val="fr-CA"/>
        </w:rPr>
        <w:t>faire parvenir une</w:t>
      </w:r>
      <w:r w:rsidRPr="00266DE1">
        <w:rPr>
          <w:lang w:val="fr-CA"/>
        </w:rPr>
        <w:t xml:space="preserve"> </w:t>
      </w:r>
      <w:r w:rsidRPr="00266DE1">
        <w:rPr>
          <w:i/>
          <w:lang w:val="fr-CA"/>
        </w:rPr>
        <w:t>copie</w:t>
      </w:r>
      <w:r w:rsidRPr="00266DE1">
        <w:rPr>
          <w:lang w:val="fr-CA"/>
        </w:rPr>
        <w:t xml:space="preserve"> au client, ESA ne réfute pas l’existence de la transmission au public par télécommunication et, par conséquent, de la communication visée à l’al. 3(1)</w:t>
      </w:r>
      <w:r w:rsidRPr="00266DE1">
        <w:rPr>
          <w:i/>
          <w:lang w:val="fr-CA"/>
        </w:rPr>
        <w:t>f</w:t>
      </w:r>
      <w:r w:rsidRPr="00266DE1">
        <w:rPr>
          <w:lang w:val="fr-CA"/>
        </w:rPr>
        <w:t>).</w:t>
      </w:r>
    </w:p>
    <w:p w:rsidR="00B77AA4" w:rsidRPr="00266DE1" w:rsidRDefault="00B77AA4" w:rsidP="00B77AA4">
      <w:pPr>
        <w:pStyle w:val="ParaNoNdepar-AltN"/>
        <w:rPr>
          <w:lang w:val="fr-CA"/>
        </w:rPr>
      </w:pPr>
      <w:r w:rsidRPr="00266DE1">
        <w:rPr>
          <w:lang w:val="fr-CA"/>
        </w:rPr>
        <w:t xml:space="preserve">Dans l’affaire </w:t>
      </w:r>
      <w:r w:rsidRPr="00266DE1">
        <w:rPr>
          <w:i/>
          <w:lang w:val="fr-CA"/>
        </w:rPr>
        <w:t>Bishop c. Stevens</w:t>
      </w:r>
      <w:r w:rsidRPr="00266DE1">
        <w:rPr>
          <w:lang w:val="fr-CA"/>
        </w:rPr>
        <w:t>, une prétention semblable était formulée</w:t>
      </w:r>
      <w:r w:rsidRPr="003E72C7">
        <w:rPr>
          <w:lang w:val="fr-CA"/>
        </w:rPr>
        <w:t xml:space="preserve">. </w:t>
      </w:r>
      <w:r w:rsidRPr="00266DE1">
        <w:rPr>
          <w:lang w:val="fr-CA"/>
        </w:rPr>
        <w:t xml:space="preserve"> La Cour devait décider si une station de télévision qui avait acquitté les redevances exigibles pour la diffusion de l’exécution d’une œuvre musicale avait également le droit d’en faire un enregistrement « éphémère » </w:t>
      </w:r>
      <w:r w:rsidRPr="00266DE1">
        <w:rPr>
          <w:i/>
          <w:lang w:val="fr-CA"/>
        </w:rPr>
        <w:t>dans le seul but de faciliter la diffusion</w:t>
      </w:r>
      <w:r w:rsidRPr="00266DE1">
        <w:rPr>
          <w:lang w:val="fr-CA"/>
        </w:rPr>
        <w:t xml:space="preserve">.  La Cour a estimé que le droit d’exécuter l’œuvre n’englobait pas celui de l’enregistrer, même de manière « éphémère » à des fins strictement techniques.  La juge </w:t>
      </w:r>
      <w:proofErr w:type="spellStart"/>
      <w:r w:rsidRPr="00266DE1">
        <w:rPr>
          <w:lang w:val="fr-CA"/>
        </w:rPr>
        <w:t>McLachlin</w:t>
      </w:r>
      <w:proofErr w:type="spellEnd"/>
      <w:r w:rsidRPr="00266DE1">
        <w:rPr>
          <w:lang w:val="fr-CA"/>
        </w:rPr>
        <w:t xml:space="preserve"> conclut que « l’al. 3(1)</w:t>
      </w:r>
      <w:r w:rsidRPr="00266DE1">
        <w:rPr>
          <w:i/>
          <w:lang w:val="fr-CA"/>
        </w:rPr>
        <w:t>d</w:t>
      </w:r>
      <w:r w:rsidRPr="00266DE1">
        <w:rPr>
          <w:lang w:val="fr-CA"/>
        </w:rPr>
        <w:t>) ne mentionne pas le but » (p. 479) :</w:t>
      </w:r>
    </w:p>
    <w:p w:rsidR="00B77AA4" w:rsidRPr="00266DE1" w:rsidRDefault="00B77AA4" w:rsidP="00B77AA4">
      <w:pPr>
        <w:pStyle w:val="Citation-AltC"/>
        <w:ind w:hanging="1166"/>
        <w:rPr>
          <w:lang w:val="fr-CA"/>
        </w:rPr>
      </w:pPr>
      <w:r w:rsidRPr="00266DE1">
        <w:rPr>
          <w:spacing w:val="-3"/>
          <w:lang w:val="fr-FR"/>
        </w:rPr>
        <w:lastRenderedPageBreak/>
        <w:tab/>
        <w:t>L’interprétation des lois doit toujours commencer par le sens ordinaire des mots employés et rien dans cet alinéa ne limite son application aux enregistrements faits aux fins de reproduction et de vente.  Un enregistrement fait dans n’importe quel but, même non préjudiciable au titulaire du droit d’auteur, sans l’autorisation du titulaire du droit d’auteur constitue une violation de ses droits.  [</w:t>
      </w:r>
      <w:r w:rsidRPr="00266DE1">
        <w:rPr>
          <w:lang w:val="fr-CA"/>
        </w:rPr>
        <w:t>p. 480]</w:t>
      </w:r>
    </w:p>
    <w:p w:rsidR="00B77AA4" w:rsidRPr="00266DE1" w:rsidRDefault="00B77AA4" w:rsidP="00B77AA4">
      <w:pPr>
        <w:pStyle w:val="ParaNoNdepar-AltN"/>
        <w:rPr>
          <w:lang w:val="fr-CA"/>
        </w:rPr>
      </w:pPr>
      <w:r w:rsidRPr="00266DE1">
        <w:rPr>
          <w:lang w:val="fr-CA"/>
        </w:rPr>
        <w:t xml:space="preserve">De même, transmettre l’œuvre dans Internet, et donc la « communiquer </w:t>
      </w:r>
      <w:r w:rsidR="003E72C7">
        <w:rPr>
          <w:lang w:val="fr-CA"/>
        </w:rPr>
        <w:t>[</w:t>
      </w:r>
      <w:r w:rsidRPr="00266DE1">
        <w:rPr>
          <w:lang w:val="fr-CA"/>
        </w:rPr>
        <w:t>. . .</w:t>
      </w:r>
      <w:r w:rsidR="003E72C7">
        <w:rPr>
          <w:lang w:val="fr-CA"/>
        </w:rPr>
        <w:t>]</w:t>
      </w:r>
      <w:r w:rsidRPr="00266DE1">
        <w:rPr>
          <w:lang w:val="fr-CA"/>
        </w:rPr>
        <w:t xml:space="preserve"> par télécommunication » au sens ordinaire de ces mots, afin de faire parvenir à l’utilisateur une copie du jeu vidéo auquel elle est intégrée ne change rien au fait qu’</w:t>
      </w:r>
      <w:r w:rsidRPr="00266DE1">
        <w:rPr>
          <w:i/>
          <w:lang w:val="fr-CA"/>
        </w:rPr>
        <w:t>il y a</w:t>
      </w:r>
      <w:r w:rsidRPr="00266DE1">
        <w:rPr>
          <w:lang w:val="fr-CA"/>
        </w:rPr>
        <w:t xml:space="preserve"> communication Internet devant être autorisée par le titulaire du droit d’auteur.</w:t>
      </w:r>
    </w:p>
    <w:p w:rsidR="00B77AA4" w:rsidRPr="00266DE1" w:rsidRDefault="00B77AA4" w:rsidP="003E72C7">
      <w:pPr>
        <w:pStyle w:val="TitleTitre-AltT"/>
        <w:tabs>
          <w:tab w:val="clear" w:pos="360"/>
          <w:tab w:val="left" w:pos="540"/>
        </w:tabs>
        <w:ind w:left="1170" w:hanging="1170"/>
        <w:rPr>
          <w:lang w:val="fr-CA"/>
        </w:rPr>
      </w:pPr>
      <w:r w:rsidRPr="00266DE1">
        <w:rPr>
          <w:lang w:val="fr-CA"/>
        </w:rPr>
        <w:tab/>
        <w:t>(8)</w:t>
      </w:r>
      <w:r w:rsidRPr="00266DE1">
        <w:rPr>
          <w:lang w:val="fr-CA"/>
        </w:rPr>
        <w:tab/>
      </w:r>
      <w:r w:rsidRPr="00266DE1">
        <w:rPr>
          <w:u w:val="single"/>
          <w:lang w:val="fr-CA"/>
        </w:rPr>
        <w:t>Des conséquences inattendues</w:t>
      </w:r>
    </w:p>
    <w:p w:rsidR="00B77AA4" w:rsidRPr="00266DE1" w:rsidRDefault="00B77AA4" w:rsidP="00B77AA4">
      <w:pPr>
        <w:pStyle w:val="ParaNoNdepar-AltN"/>
        <w:rPr>
          <w:lang w:val="fr-CA"/>
        </w:rPr>
      </w:pPr>
      <w:r w:rsidRPr="00266DE1">
        <w:rPr>
          <w:lang w:val="fr-CA"/>
        </w:rPr>
        <w:t xml:space="preserve">ESA fait état d’un certain nombre de </w:t>
      </w:r>
      <w:r w:rsidR="003E72C7">
        <w:rPr>
          <w:lang w:val="fr-CA"/>
        </w:rPr>
        <w:t>[</w:t>
      </w:r>
      <w:r w:rsidR="003E72C7" w:rsidRPr="003E72C7">
        <w:rPr>
          <w:smallCaps/>
          <w:lang w:val="fr-CA"/>
        </w:rPr>
        <w:t>traduction</w:t>
      </w:r>
      <w:r w:rsidR="003E72C7">
        <w:rPr>
          <w:lang w:val="fr-CA"/>
        </w:rPr>
        <w:t xml:space="preserve">] </w:t>
      </w:r>
      <w:r w:rsidRPr="00266DE1">
        <w:rPr>
          <w:lang w:val="fr-CA"/>
        </w:rPr>
        <w:t>« conséquences inattendues » qu’emporterait l’assimilation du téléchargement à une communication pour l’application de l’al. 3(1)</w:t>
      </w:r>
      <w:r w:rsidRPr="00266DE1">
        <w:rPr>
          <w:i/>
          <w:lang w:val="fr-CA"/>
        </w:rPr>
        <w:t>f</w:t>
      </w:r>
      <w:r w:rsidRPr="00266DE1">
        <w:rPr>
          <w:lang w:val="fr-CA"/>
        </w:rPr>
        <w:t>).</w:t>
      </w:r>
    </w:p>
    <w:p w:rsidR="00B77AA4" w:rsidRPr="00266DE1" w:rsidRDefault="00B77AA4" w:rsidP="00B77AA4">
      <w:pPr>
        <w:pStyle w:val="ParaNoNdepar-AltN"/>
        <w:rPr>
          <w:lang w:val="fr-CA"/>
        </w:rPr>
      </w:pPr>
      <w:r w:rsidRPr="00266DE1">
        <w:rPr>
          <w:lang w:val="fr-CA"/>
        </w:rPr>
        <w:t xml:space="preserve">Elle renvoie d’abord au par. 2.2(1) de la Loi, qui définit la « publication » et dont voici le texte : </w:t>
      </w:r>
    </w:p>
    <w:p w:rsidR="00B77AA4" w:rsidRDefault="003A24AB" w:rsidP="003A24AB">
      <w:pPr>
        <w:pStyle w:val="Citation-AltC"/>
        <w:tabs>
          <w:tab w:val="left" w:pos="1701"/>
        </w:tabs>
        <w:spacing w:after="240"/>
        <w:ind w:left="1134"/>
        <w:contextualSpacing w:val="0"/>
        <w:rPr>
          <w:szCs w:val="24"/>
          <w:lang w:val="fr-CA"/>
        </w:rPr>
      </w:pPr>
      <w:r>
        <w:rPr>
          <w:rStyle w:val="sectionlabel1"/>
          <w:szCs w:val="24"/>
          <w:lang w:val="fr-CA"/>
        </w:rPr>
        <w:tab/>
      </w:r>
      <w:r w:rsidR="00B77AA4" w:rsidRPr="00EF56E4">
        <w:rPr>
          <w:rStyle w:val="sectionlabel1"/>
          <w:szCs w:val="24"/>
          <w:lang w:val="fr-CA"/>
        </w:rPr>
        <w:t>2.2</w:t>
      </w:r>
      <w:r w:rsidR="00B77AA4" w:rsidRPr="00266DE1">
        <w:rPr>
          <w:szCs w:val="24"/>
          <w:lang w:val="fr-CA"/>
        </w:rPr>
        <w:t> (1) Pour l’application de la présente loi, « publication » s’entend :</w:t>
      </w:r>
    </w:p>
    <w:p w:rsidR="00B77AA4" w:rsidRPr="00266DE1" w:rsidRDefault="003E72C7" w:rsidP="00586518">
      <w:pPr>
        <w:pStyle w:val="Citation-AltC"/>
        <w:tabs>
          <w:tab w:val="left" w:pos="1701"/>
        </w:tabs>
        <w:spacing w:after="240"/>
        <w:ind w:left="1710" w:hanging="2037"/>
        <w:contextualSpacing w:val="0"/>
        <w:rPr>
          <w:szCs w:val="24"/>
          <w:lang w:val="fr-CA"/>
        </w:rPr>
      </w:pPr>
      <w:r>
        <w:rPr>
          <w:i/>
          <w:szCs w:val="24"/>
          <w:lang w:val="fr-CA"/>
        </w:rPr>
        <w:tab/>
      </w:r>
      <w:r w:rsidR="00B77AA4" w:rsidRPr="00266DE1">
        <w:rPr>
          <w:i/>
          <w:szCs w:val="24"/>
          <w:lang w:val="fr-CA"/>
        </w:rPr>
        <w:t>a</w:t>
      </w:r>
      <w:r w:rsidR="00B77AA4" w:rsidRPr="00266DE1">
        <w:rPr>
          <w:szCs w:val="24"/>
          <w:lang w:val="fr-CA"/>
        </w:rPr>
        <w:t>)</w:t>
      </w:r>
      <w:r w:rsidR="00B77AA4" w:rsidRPr="00266DE1">
        <w:rPr>
          <w:szCs w:val="24"/>
          <w:lang w:val="fr-CA"/>
        </w:rPr>
        <w:tab/>
        <w:t>à l’égard d’une œuvre, de la mise à la disposition du public d’exemplaires de l’œuvre,</w:t>
      </w:r>
      <w:r w:rsidR="00571C11">
        <w:rPr>
          <w:szCs w:val="24"/>
          <w:lang w:val="fr-CA"/>
        </w:rPr>
        <w:t xml:space="preserve"> . . .</w:t>
      </w:r>
    </w:p>
    <w:p w:rsidR="00B77AA4" w:rsidRPr="00266DE1" w:rsidRDefault="00B77AA4" w:rsidP="00B77AA4">
      <w:pPr>
        <w:pStyle w:val="Citation-AltC"/>
        <w:spacing w:after="240"/>
        <w:ind w:left="1168"/>
        <w:contextualSpacing w:val="0"/>
        <w:jc w:val="center"/>
        <w:rPr>
          <w:szCs w:val="24"/>
          <w:lang w:val="fr-CA"/>
        </w:rPr>
      </w:pPr>
      <w:r w:rsidRPr="00266DE1">
        <w:rPr>
          <w:szCs w:val="24"/>
          <w:lang w:val="fr-CA"/>
        </w:rPr>
        <w:t>. . .</w:t>
      </w:r>
    </w:p>
    <w:p w:rsidR="00B77AA4" w:rsidRPr="00D37B90" w:rsidRDefault="00B77AA4" w:rsidP="00B77AA4">
      <w:pPr>
        <w:pStyle w:val="Citation-AltC"/>
        <w:ind w:hanging="1166"/>
        <w:rPr>
          <w:rStyle w:val="sectionlabel1"/>
          <w:b w:val="0"/>
          <w:szCs w:val="24"/>
          <w:lang w:val="fr-CA"/>
        </w:rPr>
      </w:pPr>
      <w:r>
        <w:rPr>
          <w:szCs w:val="24"/>
          <w:lang w:val="fr-CA"/>
        </w:rPr>
        <w:tab/>
      </w:r>
      <w:r w:rsidRPr="00266DE1">
        <w:rPr>
          <w:szCs w:val="24"/>
          <w:lang w:val="fr-CA"/>
        </w:rPr>
        <w:t xml:space="preserve">Sont exclues de la publication la représentation ou l’exécution en public d’une œuvre littéraire, dramatique, musicale ou artistique ou d’un </w:t>
      </w:r>
      <w:r w:rsidRPr="00266DE1">
        <w:rPr>
          <w:szCs w:val="24"/>
          <w:lang w:val="fr-CA"/>
        </w:rPr>
        <w:lastRenderedPageBreak/>
        <w:t xml:space="preserve">enregistrement sonore, leur communication au public par </w:t>
      </w:r>
      <w:proofErr w:type="gramStart"/>
      <w:r w:rsidRPr="00266DE1">
        <w:rPr>
          <w:szCs w:val="24"/>
          <w:lang w:val="fr-CA"/>
        </w:rPr>
        <w:t xml:space="preserve">télécommunication </w:t>
      </w:r>
      <w:r w:rsidRPr="00D37B90">
        <w:rPr>
          <w:rStyle w:val="sectionlabel1"/>
          <w:b w:val="0"/>
          <w:szCs w:val="24"/>
          <w:lang w:val="fr-CA"/>
        </w:rPr>
        <w:t>.</w:t>
      </w:r>
      <w:proofErr w:type="gramEnd"/>
      <w:r w:rsidRPr="00D37B90">
        <w:rPr>
          <w:rStyle w:val="sectionlabel1"/>
          <w:b w:val="0"/>
          <w:szCs w:val="24"/>
          <w:lang w:val="fr-CA"/>
        </w:rPr>
        <w:t> . .</w:t>
      </w:r>
    </w:p>
    <w:p w:rsidR="00B77AA4" w:rsidRPr="00266DE1" w:rsidRDefault="00B77AA4" w:rsidP="00B77AA4">
      <w:pPr>
        <w:pStyle w:val="ParaNoNdepar-AltN"/>
        <w:rPr>
          <w:lang w:val="fr-CA"/>
        </w:rPr>
      </w:pPr>
      <w:r w:rsidRPr="00266DE1">
        <w:rPr>
          <w:lang w:val="fr-CA"/>
        </w:rPr>
        <w:t xml:space="preserve">ESA soutient que, selon </w:t>
      </w:r>
      <w:r w:rsidRPr="00266DE1">
        <w:rPr>
          <w:smallCaps/>
          <w:lang w:val="fr-CA"/>
        </w:rPr>
        <w:t xml:space="preserve">[traduction] </w:t>
      </w:r>
      <w:r w:rsidRPr="00266DE1">
        <w:rPr>
          <w:lang w:val="fr-CA"/>
        </w:rPr>
        <w:t>« une interprétation extensive qui assimilerait à “communiquer au public” le fait de mettre en circulation une copie permanente de l’œuvre dans un réseau », l’œuvre « mise en circulation » dans Internet ne serait pas « publiée », car la publication, au sens du par. 2.2(1) de la Loi, exclut la communication au</w:t>
      </w:r>
      <w:r w:rsidR="003E72C7">
        <w:rPr>
          <w:lang w:val="fr-CA"/>
        </w:rPr>
        <w:t xml:space="preserve"> public par télécommunication (</w:t>
      </w:r>
      <w:proofErr w:type="gramStart"/>
      <w:r w:rsidR="003E72C7">
        <w:rPr>
          <w:lang w:val="fr-CA"/>
        </w:rPr>
        <w:t>m.a</w:t>
      </w:r>
      <w:r w:rsidRPr="00266DE1">
        <w:rPr>
          <w:lang w:val="fr-CA"/>
        </w:rPr>
        <w:t>.,</w:t>
      </w:r>
      <w:proofErr w:type="gramEnd"/>
      <w:r w:rsidRPr="00266DE1">
        <w:rPr>
          <w:lang w:val="fr-CA"/>
        </w:rPr>
        <w:t xml:space="preserve"> par. 102</w:t>
      </w:r>
      <w:r w:rsidR="002F38C1">
        <w:rPr>
          <w:lang w:val="fr-CA"/>
        </w:rPr>
        <w:t>-</w:t>
      </w:r>
      <w:r w:rsidRPr="00266DE1">
        <w:rPr>
          <w:lang w:val="fr-CA"/>
        </w:rPr>
        <w:t xml:space="preserve">110).  </w:t>
      </w:r>
    </w:p>
    <w:p w:rsidR="00B77AA4" w:rsidRPr="00266DE1" w:rsidRDefault="00B77AA4" w:rsidP="00B77AA4">
      <w:pPr>
        <w:pStyle w:val="ParaNoNdepar-AltN"/>
        <w:rPr>
          <w:lang w:val="fr-CA"/>
        </w:rPr>
      </w:pPr>
      <w:r w:rsidRPr="00266DE1">
        <w:rPr>
          <w:lang w:val="fr-CA"/>
        </w:rPr>
        <w:t>À mon avis, on ne saurait circonscrire le droit de communiquer au public par télécommunication conféré à l’al. 3(1)</w:t>
      </w:r>
      <w:r w:rsidRPr="00266DE1">
        <w:rPr>
          <w:i/>
          <w:lang w:val="fr-CA"/>
        </w:rPr>
        <w:t>f</w:t>
      </w:r>
      <w:r w:rsidRPr="00266DE1">
        <w:rPr>
          <w:lang w:val="fr-CA"/>
        </w:rPr>
        <w:t>) en fonction du par. 2.2(1), car celui</w:t>
      </w:r>
      <w:r w:rsidR="002F38C1">
        <w:rPr>
          <w:lang w:val="fr-CA"/>
        </w:rPr>
        <w:t>-</w:t>
      </w:r>
      <w:r w:rsidRPr="00266DE1">
        <w:rPr>
          <w:lang w:val="fr-CA"/>
        </w:rPr>
        <w:t xml:space="preserve">ci ne définit la </w:t>
      </w:r>
      <w:r w:rsidRPr="00266DE1">
        <w:rPr>
          <w:i/>
          <w:lang w:val="fr-CA"/>
        </w:rPr>
        <w:t>publication</w:t>
      </w:r>
      <w:r w:rsidRPr="00266DE1">
        <w:rPr>
          <w:lang w:val="fr-CA"/>
        </w:rPr>
        <w:t xml:space="preserve"> que pour l’application des dispositions de la Loi où ce mot est employé.  La publication s’entend alors de « la mise à la disposition du public d’exemplaires de l’œuvre », à l’exclusion de la communication de l’œuvre au public par télécommunication.  Par contre, le par. 2.2(1) </w:t>
      </w:r>
      <w:r w:rsidRPr="00266DE1">
        <w:rPr>
          <w:i/>
          <w:lang w:val="fr-CA"/>
        </w:rPr>
        <w:t>n’énonce pas</w:t>
      </w:r>
      <w:r w:rsidRPr="00266DE1">
        <w:rPr>
          <w:lang w:val="fr-CA"/>
        </w:rPr>
        <w:t xml:space="preserve"> une définition qui vaut pour toutes les dispositions de la Loi et qui rend toujours incompatibles entre elles la « mise à la disposition du public d’exemplaires de l’œuvre » et la communication au public par télécommunication.  On ne peut inférer que le droit distinct de communiquer une œuvre au public par télécommunication prévu à l’al. 3(1)</w:t>
      </w:r>
      <w:r w:rsidRPr="00266DE1">
        <w:rPr>
          <w:i/>
          <w:lang w:val="fr-CA"/>
        </w:rPr>
        <w:t>f</w:t>
      </w:r>
      <w:r w:rsidRPr="00266DE1">
        <w:rPr>
          <w:lang w:val="fr-CA"/>
        </w:rPr>
        <w:t xml:space="preserve">) ne peut s’appliquer dès lors qu’un exemplaire de l’œuvre est mis à la disposition du public. </w:t>
      </w:r>
    </w:p>
    <w:p w:rsidR="00B77AA4" w:rsidRPr="00266DE1" w:rsidRDefault="00B77AA4" w:rsidP="00B77AA4">
      <w:pPr>
        <w:pStyle w:val="ParaNoNdepar-AltN"/>
        <w:rPr>
          <w:lang w:val="fr-CA"/>
        </w:rPr>
      </w:pPr>
      <w:r w:rsidRPr="00266DE1">
        <w:rPr>
          <w:lang w:val="fr-CA"/>
        </w:rPr>
        <w:t xml:space="preserve">ESA fait valoir que l’interprétation extensive peut aller à l’encontre de la neutralité technologique de la publication étant donné que l’œuvre mise en circulation </w:t>
      </w:r>
      <w:r w:rsidRPr="00266DE1">
        <w:rPr>
          <w:i/>
          <w:lang w:val="fr-CA"/>
        </w:rPr>
        <w:lastRenderedPageBreak/>
        <w:t>uniquement</w:t>
      </w:r>
      <w:r w:rsidRPr="00266DE1">
        <w:rPr>
          <w:lang w:val="fr-CA"/>
        </w:rPr>
        <w:t xml:space="preserve"> par téléchargement Internet ne serait pas tenue pour publiée.  La question de savoir s’il s’agit de la conclusion inéluctable à tirer quant au sens du par. 2.2(1) devra être tranchée lorsqu’elle sera soulevée dans un autre dossier.  De fait, certains auteurs estiment que </w:t>
      </w:r>
      <w:r w:rsidRPr="00266DE1">
        <w:rPr>
          <w:smallCaps/>
          <w:lang w:val="fr-CA"/>
        </w:rPr>
        <w:t xml:space="preserve">[traduction] </w:t>
      </w:r>
      <w:r w:rsidRPr="00266DE1">
        <w:rPr>
          <w:lang w:val="fr-CA"/>
        </w:rPr>
        <w:t>« [l]’œuvre mise en ligne ou stockée dans une banque de don</w:t>
      </w:r>
      <w:r w:rsidR="00E20135">
        <w:rPr>
          <w:lang w:val="fr-CA"/>
        </w:rPr>
        <w:t xml:space="preserve">nées peut donc être tenue pour </w:t>
      </w:r>
      <w:r w:rsidR="00E20135">
        <w:rPr>
          <w:rFonts w:cs="Times New Roman"/>
          <w:lang w:val="fr-CA"/>
        </w:rPr>
        <w:t>“</w:t>
      </w:r>
      <w:r w:rsidRPr="00266DE1">
        <w:rPr>
          <w:lang w:val="fr-CA"/>
        </w:rPr>
        <w:t>publiée</w:t>
      </w:r>
      <w:r w:rsidR="00E20135">
        <w:rPr>
          <w:rFonts w:cs="Times New Roman"/>
          <w:lang w:val="fr-CA"/>
        </w:rPr>
        <w:t>”</w:t>
      </w:r>
      <w:r w:rsidRPr="00266DE1">
        <w:rPr>
          <w:lang w:val="fr-CA"/>
        </w:rPr>
        <w:t> », et ce, sans égard au fait que le transfert d’une œuvre dans Internet constitue une communication au public par télécommunication (</w:t>
      </w:r>
      <w:proofErr w:type="spellStart"/>
      <w:r w:rsidRPr="00266DE1">
        <w:rPr>
          <w:lang w:val="fr-CA"/>
        </w:rPr>
        <w:t>Vaver</w:t>
      </w:r>
      <w:proofErr w:type="spellEnd"/>
      <w:r w:rsidRPr="00266DE1">
        <w:rPr>
          <w:lang w:val="fr-CA"/>
        </w:rPr>
        <w:t xml:space="preserve">, p. 157 et 172-173). </w:t>
      </w:r>
    </w:p>
    <w:p w:rsidR="00B77AA4" w:rsidRPr="00266DE1" w:rsidRDefault="00B77AA4" w:rsidP="00B77AA4">
      <w:pPr>
        <w:pStyle w:val="ParaNoNdepar-AltN"/>
        <w:rPr>
          <w:lang w:val="fr-CA"/>
        </w:rPr>
      </w:pPr>
      <w:r w:rsidRPr="00266DE1">
        <w:rPr>
          <w:lang w:val="fr-CA"/>
        </w:rPr>
        <w:t>En outre, selon ESA, si le droit conféré à l’al. 3(1)</w:t>
      </w:r>
      <w:r w:rsidRPr="00266DE1">
        <w:rPr>
          <w:i/>
          <w:lang w:val="fr-CA"/>
        </w:rPr>
        <w:t>f</w:t>
      </w:r>
      <w:r w:rsidRPr="00266DE1">
        <w:rPr>
          <w:lang w:val="fr-CA"/>
        </w:rPr>
        <w:t>) s’appliquait à la [</w:t>
      </w:r>
      <w:r w:rsidRPr="00266DE1">
        <w:rPr>
          <w:smallCaps/>
          <w:lang w:val="fr-CA"/>
        </w:rPr>
        <w:t>traduction</w:t>
      </w:r>
      <w:r w:rsidRPr="00266DE1">
        <w:rPr>
          <w:lang w:val="fr-CA"/>
        </w:rPr>
        <w:t>] « livraison numérique d’un exemplaire d’une œuvre », le par. 27(2), qui porte sur la violation à une étape ultérieure, serait « en grande partie redondant » dans</w:t>
      </w:r>
      <w:r w:rsidR="00E20135">
        <w:rPr>
          <w:lang w:val="fr-CA"/>
        </w:rPr>
        <w:t xml:space="preserve"> l’environnement électronique (</w:t>
      </w:r>
      <w:proofErr w:type="gramStart"/>
      <w:r w:rsidR="00E20135">
        <w:rPr>
          <w:lang w:val="fr-CA"/>
        </w:rPr>
        <w:t>m.a</w:t>
      </w:r>
      <w:r w:rsidRPr="00266DE1">
        <w:rPr>
          <w:lang w:val="fr-CA"/>
        </w:rPr>
        <w:t>.,</w:t>
      </w:r>
      <w:proofErr w:type="gramEnd"/>
      <w:r w:rsidRPr="00266DE1">
        <w:rPr>
          <w:lang w:val="fr-CA"/>
        </w:rPr>
        <w:t xml:space="preserve"> par. 117) et il ne serait pas vraiment nécessaire pour régir la mise en circulation électronique d’un exemplaire de l’œuvre.  J’estime que c’est confondre sans justification à l’appui communication et mise en circulation en application de la Loi.  Bien que la redondance soit une considération qui relève du législateur et qu’il appartienne à ce dernier d’agir s’il juge non souhaitable le chevauchement allégué, j’examine brièvement la question.</w:t>
      </w:r>
    </w:p>
    <w:p w:rsidR="00B77AA4" w:rsidRPr="00266DE1" w:rsidRDefault="00B77AA4" w:rsidP="00B77AA4">
      <w:pPr>
        <w:pStyle w:val="ParaNoNdepar-AltN"/>
        <w:rPr>
          <w:lang w:val="fr-CA"/>
        </w:rPr>
      </w:pPr>
      <w:r w:rsidRPr="00266DE1">
        <w:rPr>
          <w:lang w:val="fr-CA"/>
        </w:rPr>
        <w:t xml:space="preserve">De façon générale, une personne peut se rendre coupable de violation du droit conféré au par. 3(1) de façon involontaire.  Toutefois, elle ne sera coupable d’une violation à une étape ultérieure — et c’est là une différence fondamentale — que si elle a une connaissance réelle ou implicite du fait que la mise en circulation </w:t>
      </w:r>
      <w:r w:rsidRPr="00266DE1">
        <w:rPr>
          <w:lang w:val="fr-CA"/>
        </w:rPr>
        <w:lastRenderedPageBreak/>
        <w:t>d’un exemplaire emporte la violation du droit d’auteur.  Voici le texte pertinent du par. 27(2) :</w:t>
      </w:r>
    </w:p>
    <w:p w:rsidR="00B77AA4" w:rsidRPr="00266DE1" w:rsidRDefault="00B77AA4" w:rsidP="00E20135">
      <w:pPr>
        <w:pStyle w:val="Citation-AltC"/>
        <w:tabs>
          <w:tab w:val="left" w:pos="1620"/>
        </w:tabs>
        <w:spacing w:after="240"/>
        <w:ind w:hanging="1166"/>
        <w:contextualSpacing w:val="0"/>
        <w:rPr>
          <w:lang w:val="fr-CA"/>
        </w:rPr>
      </w:pPr>
      <w:r w:rsidRPr="00266DE1">
        <w:rPr>
          <w:lang w:val="fr-CA"/>
        </w:rPr>
        <w:tab/>
      </w:r>
      <w:r w:rsidRPr="00266DE1">
        <w:rPr>
          <w:lang w:val="fr-CA"/>
        </w:rPr>
        <w:tab/>
        <w:t>Constitue une violation du droit d’auteur l’accomplissement de tout acte ci</w:t>
      </w:r>
      <w:r w:rsidR="002F38C1">
        <w:rPr>
          <w:lang w:val="fr-CA"/>
        </w:rPr>
        <w:t>-</w:t>
      </w:r>
      <w:r w:rsidRPr="00266DE1">
        <w:rPr>
          <w:lang w:val="fr-CA"/>
        </w:rPr>
        <w:t>après en ce qui a trait à l’exemplaire d’une œuvre</w:t>
      </w:r>
      <w:r w:rsidR="00E20135">
        <w:rPr>
          <w:lang w:val="fr-CA"/>
        </w:rPr>
        <w:t xml:space="preserve"> [</w:t>
      </w:r>
      <w:r w:rsidRPr="00266DE1">
        <w:rPr>
          <w:lang w:val="fr-CA"/>
        </w:rPr>
        <w:t>. . .</w:t>
      </w:r>
      <w:r w:rsidR="00E20135">
        <w:rPr>
          <w:lang w:val="fr-CA"/>
        </w:rPr>
        <w:t>]</w:t>
      </w:r>
      <w:r w:rsidRPr="00266DE1">
        <w:rPr>
          <w:lang w:val="fr-CA"/>
        </w:rPr>
        <w:t xml:space="preserve"> alors que la personne qui accomplit l’acte sait ou devrait savoir que la production de l’exemplaire constitue une violation de ce droit</w:t>
      </w:r>
      <w:r w:rsidR="00E20135">
        <w:rPr>
          <w:lang w:val="fr-CA"/>
        </w:rPr>
        <w:t xml:space="preserve"> . . .</w:t>
      </w:r>
    </w:p>
    <w:p w:rsidR="00B77AA4" w:rsidRPr="00266DE1" w:rsidRDefault="00B77AA4" w:rsidP="00B77AA4">
      <w:pPr>
        <w:pStyle w:val="Citation-AltC"/>
        <w:spacing w:after="240"/>
        <w:contextualSpacing w:val="0"/>
        <w:jc w:val="center"/>
        <w:rPr>
          <w:lang w:val="fr-CA"/>
        </w:rPr>
      </w:pPr>
      <w:r w:rsidRPr="00266DE1">
        <w:rPr>
          <w:lang w:val="fr-CA"/>
        </w:rPr>
        <w:t>. . .</w:t>
      </w:r>
    </w:p>
    <w:p w:rsidR="00B77AA4" w:rsidRPr="00266DE1" w:rsidRDefault="00B77AA4" w:rsidP="00E20135">
      <w:pPr>
        <w:pStyle w:val="Citation-AltC"/>
        <w:tabs>
          <w:tab w:val="left" w:pos="1620"/>
        </w:tabs>
        <w:ind w:left="1620" w:hanging="1620"/>
        <w:rPr>
          <w:lang w:val="fr-CA"/>
        </w:rPr>
      </w:pPr>
      <w:r w:rsidRPr="00266DE1">
        <w:rPr>
          <w:i/>
          <w:lang w:val="fr-CA"/>
        </w:rPr>
        <w:tab/>
        <w:t>b</w:t>
      </w:r>
      <w:r w:rsidRPr="00266DE1">
        <w:rPr>
          <w:lang w:val="fr-CA"/>
        </w:rPr>
        <w:t xml:space="preserve">)  la mise en circulation de façon à porter préjudice au titulaire du droit d’auteur; </w:t>
      </w:r>
    </w:p>
    <w:p w:rsidR="00B77AA4" w:rsidRPr="00266DE1" w:rsidRDefault="00B77AA4" w:rsidP="00B77AA4">
      <w:pPr>
        <w:pStyle w:val="ParaNoNdepar-AltN"/>
        <w:rPr>
          <w:lang w:val="fr-CA"/>
        </w:rPr>
      </w:pPr>
      <w:r w:rsidRPr="00266DE1">
        <w:rPr>
          <w:lang w:val="fr-CA"/>
        </w:rPr>
        <w:t xml:space="preserve">Une même personne peut être à l’origine de la première violation et de celle commise ultérieurement, mais il peut s’agir de deux personnes différentes.  Le paragraphe 27(2) a pour objet d’élargir la violation du droit d’auteur de façon à viser non seulement la personne qui viole le par. 3(1), mais aussi celle qui, tout en sachant réellement ou implicitement qu’elle porte préjudice au titulaire du droit d’auteur, met en circulation un exemplaire qui constitue une violation de ce droit.  Le distributeur qui sait ou devrait savoir qu’il met en circulation un exemplaire de l’œuvre qui emporte la violation du droit d’auteur (p. ex. parce qu’il y a eu reproduction sans autorisation du titulaire du droit d’auteur) peut être tenu responsable de violation du droit d’auteur même s’il n’est pas à l’origine de la première violation.  En revanche, le distributeur qui met en circulation un exemplaire autorisé de l’œuvre n’engage pas sa responsabilité sous le régime </w:t>
      </w:r>
      <w:r w:rsidR="00E20135">
        <w:rPr>
          <w:lang w:val="fr-CA"/>
        </w:rPr>
        <w:t>de l’al.</w:t>
      </w:r>
      <w:r w:rsidRPr="00266DE1">
        <w:rPr>
          <w:lang w:val="fr-CA"/>
        </w:rPr>
        <w:t> 27(2)</w:t>
      </w:r>
      <w:r w:rsidRPr="00266DE1">
        <w:rPr>
          <w:i/>
          <w:lang w:val="fr-CA"/>
        </w:rPr>
        <w:t>b</w:t>
      </w:r>
      <w:r w:rsidRPr="00266DE1">
        <w:rPr>
          <w:lang w:val="fr-CA"/>
        </w:rPr>
        <w:t xml:space="preserve">). </w:t>
      </w:r>
    </w:p>
    <w:p w:rsidR="00B77AA4" w:rsidRPr="00266DE1" w:rsidRDefault="00B77AA4" w:rsidP="00B77AA4">
      <w:pPr>
        <w:pStyle w:val="ParaNoNdepar-AltN"/>
        <w:rPr>
          <w:lang w:val="fr-CA"/>
        </w:rPr>
      </w:pPr>
      <w:r w:rsidRPr="00266DE1">
        <w:rPr>
          <w:lang w:val="fr-CA"/>
        </w:rPr>
        <w:lastRenderedPageBreak/>
        <w:t xml:space="preserve">Suivant la preuve présentée en l’espèce, dans le secteur de l’édition de jeux vidéo, l’usage veut que l’éditeur négocie l’affranchissement des droits de reproduction d’une </w:t>
      </w:r>
      <w:r w:rsidRPr="00266DE1">
        <w:rPr>
          <w:rFonts w:cs="Times New Roman"/>
          <w:lang w:val="fr-CA"/>
        </w:rPr>
        <w:t>œu</w:t>
      </w:r>
      <w:r w:rsidRPr="00266DE1">
        <w:rPr>
          <w:lang w:val="fr-CA"/>
        </w:rPr>
        <w:t>vre musicale avant de lancer le jeu auquel celle</w:t>
      </w:r>
      <w:r w:rsidR="002F38C1">
        <w:rPr>
          <w:lang w:val="fr-CA"/>
        </w:rPr>
        <w:t>-</w:t>
      </w:r>
      <w:r w:rsidRPr="00266DE1">
        <w:rPr>
          <w:lang w:val="fr-CA"/>
        </w:rPr>
        <w:t>ci est intégrée.  Ainsi, le vendeur qui n’a pas encore communiqué le jeu vidéo n’enfreint pas le droit d’auteur, car les droits de reproduction ont été acquittés.  Or, à moins d’être autorisée par le titula</w:t>
      </w:r>
      <w:r w:rsidR="00E20135">
        <w:rPr>
          <w:lang w:val="fr-CA"/>
        </w:rPr>
        <w:t xml:space="preserve">ire des droits conférés à l’al. </w:t>
      </w:r>
      <w:r w:rsidRPr="00266DE1">
        <w:rPr>
          <w:lang w:val="fr-CA"/>
        </w:rPr>
        <w:t>3(1)</w:t>
      </w:r>
      <w:r w:rsidRPr="00266DE1">
        <w:rPr>
          <w:i/>
          <w:lang w:val="fr-CA"/>
        </w:rPr>
        <w:t>f</w:t>
      </w:r>
      <w:r w:rsidRPr="00266DE1">
        <w:rPr>
          <w:lang w:val="fr-CA"/>
        </w:rPr>
        <w:t>), la communication du jeu contrevient à cet alinéa.  Cependant, le par. 27(2) ne s’applique pas.</w:t>
      </w:r>
    </w:p>
    <w:p w:rsidR="00B77AA4" w:rsidRPr="00266DE1" w:rsidRDefault="00B77AA4" w:rsidP="00B77AA4">
      <w:pPr>
        <w:pStyle w:val="ParaNoNdepar-AltN"/>
        <w:rPr>
          <w:lang w:val="fr-CA"/>
        </w:rPr>
      </w:pPr>
      <w:r w:rsidRPr="00266DE1">
        <w:rPr>
          <w:lang w:val="fr-CA"/>
        </w:rPr>
        <w:t>ESA étaye d’exemples choisis son argument relatif à la redondance.  Or, ces exemples ne cadrent pas avec les faits de la présente affaire où ce sont des exemplaires autorisés, et non des exemplaires qui violent le droit d’auteur, qui sont communiqués ou mis en circulation.  Partant, l’al.</w:t>
      </w:r>
      <w:r w:rsidR="003A24AB">
        <w:rPr>
          <w:lang w:val="fr-CA"/>
        </w:rPr>
        <w:t xml:space="preserve"> </w:t>
      </w:r>
      <w:r w:rsidRPr="00266DE1">
        <w:rPr>
          <w:lang w:val="fr-CA"/>
        </w:rPr>
        <w:t>3(1)</w:t>
      </w:r>
      <w:r w:rsidRPr="00266DE1">
        <w:rPr>
          <w:i/>
          <w:lang w:val="fr-CA"/>
        </w:rPr>
        <w:t>f</w:t>
      </w:r>
      <w:r w:rsidRPr="00266DE1">
        <w:rPr>
          <w:lang w:val="fr-CA"/>
        </w:rPr>
        <w:t>) s’applique, à l’exclusion du par. 27(2).</w:t>
      </w:r>
    </w:p>
    <w:p w:rsidR="00B77AA4" w:rsidRPr="00266DE1" w:rsidRDefault="00B77AA4" w:rsidP="00E20135">
      <w:pPr>
        <w:pStyle w:val="TitleTitre-AltT"/>
        <w:tabs>
          <w:tab w:val="clear" w:pos="360"/>
          <w:tab w:val="left" w:pos="540"/>
          <w:tab w:val="left" w:pos="1620"/>
        </w:tabs>
        <w:ind w:left="1170" w:hanging="1170"/>
      </w:pPr>
      <w:r w:rsidRPr="00266DE1">
        <w:tab/>
        <w:t>(9)</w:t>
      </w:r>
      <w:r w:rsidRPr="00266DE1">
        <w:tab/>
      </w:r>
      <w:r w:rsidRPr="00266DE1">
        <w:rPr>
          <w:u w:val="single"/>
        </w:rPr>
        <w:t xml:space="preserve">Les </w:t>
      </w:r>
      <w:proofErr w:type="spellStart"/>
      <w:r w:rsidRPr="00266DE1">
        <w:rPr>
          <w:u w:val="single"/>
        </w:rPr>
        <w:t>considérations</w:t>
      </w:r>
      <w:proofErr w:type="spellEnd"/>
      <w:r w:rsidRPr="00266DE1">
        <w:rPr>
          <w:u w:val="single"/>
        </w:rPr>
        <w:t xml:space="preserve"> de </w:t>
      </w:r>
      <w:proofErr w:type="spellStart"/>
      <w:proofErr w:type="gramStart"/>
      <w:r w:rsidRPr="00266DE1">
        <w:rPr>
          <w:u w:val="single"/>
        </w:rPr>
        <w:t>principe</w:t>
      </w:r>
      <w:proofErr w:type="spellEnd"/>
      <w:proofErr w:type="gramEnd"/>
    </w:p>
    <w:p w:rsidR="00B77AA4" w:rsidRPr="00266DE1" w:rsidRDefault="00B77AA4" w:rsidP="00B77AA4">
      <w:pPr>
        <w:pStyle w:val="ParaNoNdepar-AltN"/>
        <w:rPr>
          <w:lang w:val="fr-CA"/>
        </w:rPr>
      </w:pPr>
      <w:r w:rsidRPr="00266DE1">
        <w:rPr>
          <w:lang w:val="fr-CA"/>
        </w:rPr>
        <w:t>Suivant la considération de principe que fait valoir ESA, le titulaire du droit d’auteur ne saurait se voir reconnaître à la fois le droit de reproduire et le droit de communiquer dans le cas d’un téléchargement Internet.</w:t>
      </w:r>
    </w:p>
    <w:p w:rsidR="00B77AA4" w:rsidRPr="00266DE1" w:rsidRDefault="00B77AA4" w:rsidP="00B77AA4">
      <w:pPr>
        <w:pStyle w:val="ParaNoNdepar-AltN"/>
        <w:rPr>
          <w:lang w:val="fr-CA"/>
        </w:rPr>
      </w:pPr>
      <w:r w:rsidRPr="00266DE1">
        <w:rPr>
          <w:lang w:val="fr-CA"/>
        </w:rPr>
        <w:t xml:space="preserve">La réponse à cette prétention est simple : les droits conférés au par. 3(1) sont distincts.  L’arrêt </w:t>
      </w:r>
      <w:r w:rsidRPr="00266DE1">
        <w:rPr>
          <w:i/>
          <w:lang w:val="fr-CA"/>
        </w:rPr>
        <w:t>Bishop c. Stevens</w:t>
      </w:r>
      <w:r w:rsidRPr="00266DE1">
        <w:rPr>
          <w:lang w:val="fr-CA"/>
        </w:rPr>
        <w:t xml:space="preserve"> </w:t>
      </w:r>
      <w:r w:rsidR="00E20135">
        <w:rPr>
          <w:lang w:val="fr-CA"/>
        </w:rPr>
        <w:t xml:space="preserve">(p. 477) </w:t>
      </w:r>
      <w:r w:rsidRPr="00266DE1">
        <w:rPr>
          <w:lang w:val="fr-CA"/>
        </w:rPr>
        <w:t xml:space="preserve">confirme cette conclusion tirée par le juge </w:t>
      </w:r>
      <w:proofErr w:type="spellStart"/>
      <w:r w:rsidRPr="00266DE1">
        <w:rPr>
          <w:lang w:val="fr-CA"/>
        </w:rPr>
        <w:t>Estey</w:t>
      </w:r>
      <w:proofErr w:type="spellEnd"/>
      <w:r w:rsidRPr="00266DE1">
        <w:rPr>
          <w:lang w:val="fr-CA"/>
        </w:rPr>
        <w:t xml:space="preserve"> dans l’affaire </w:t>
      </w:r>
      <w:r w:rsidRPr="00266DE1">
        <w:rPr>
          <w:i/>
          <w:lang w:val="fr-CA"/>
        </w:rPr>
        <w:t>Compo Co. c. Blue Crest Music Inc</w:t>
      </w:r>
      <w:r w:rsidRPr="00266DE1">
        <w:rPr>
          <w:lang w:val="fr-CA"/>
        </w:rPr>
        <w:t xml:space="preserve">., p. 373 : </w:t>
      </w:r>
    </w:p>
    <w:p w:rsidR="00B77AA4" w:rsidRPr="00266DE1" w:rsidRDefault="00B77AA4" w:rsidP="00B77AA4">
      <w:pPr>
        <w:pStyle w:val="Citation-AltC"/>
        <w:spacing w:after="240"/>
        <w:ind w:hanging="1166"/>
        <w:contextualSpacing w:val="0"/>
        <w:rPr>
          <w:rFonts w:ascii="TmsRmn 12pt" w:hAnsi="TmsRmn 12pt"/>
          <w:lang w:val="fr-FR"/>
        </w:rPr>
      </w:pPr>
      <w:r w:rsidRPr="00266DE1">
        <w:rPr>
          <w:rFonts w:eastAsiaTheme="minorEastAsia" w:cstheme="minorBidi"/>
          <w:szCs w:val="22"/>
          <w:lang w:val="fr-CA" w:eastAsia="en-US"/>
        </w:rPr>
        <w:lastRenderedPageBreak/>
        <w:tab/>
      </w:r>
      <w:r w:rsidRPr="00266DE1">
        <w:rPr>
          <w:rFonts w:eastAsiaTheme="minorEastAsia" w:cstheme="minorBidi"/>
          <w:szCs w:val="22"/>
          <w:u w:val="single"/>
          <w:lang w:val="fr-CA" w:eastAsia="en-US"/>
        </w:rPr>
        <w:t>Il ressort nettement de l’examen du par. 3(1) qu’il énumère un certain</w:t>
      </w:r>
      <w:r w:rsidRPr="00266DE1">
        <w:rPr>
          <w:spacing w:val="-3"/>
          <w:u w:val="single"/>
          <w:lang w:val="fr-FR"/>
        </w:rPr>
        <w:t xml:space="preserve"> nombre de droits distincts qui appartiennent au titulaire du droit d’auteur.</w:t>
      </w:r>
      <w:r w:rsidRPr="00266DE1">
        <w:rPr>
          <w:spacing w:val="-3"/>
          <w:lang w:val="fr-FR"/>
        </w:rPr>
        <w:t xml:space="preserve">  Comme le dit le lord juge Greene dans l’arrêt</w:t>
      </w:r>
      <w:r w:rsidRPr="00E20135">
        <w:rPr>
          <w:i/>
          <w:iCs/>
          <w:spacing w:val="-3"/>
          <w:lang w:val="fr-FR"/>
        </w:rPr>
        <w:t xml:space="preserve"> </w:t>
      </w:r>
      <w:proofErr w:type="spellStart"/>
      <w:r w:rsidRPr="00E20135">
        <w:rPr>
          <w:i/>
          <w:iCs/>
          <w:spacing w:val="-3"/>
          <w:lang w:val="fr-FR"/>
        </w:rPr>
        <w:t>Ash</w:t>
      </w:r>
      <w:proofErr w:type="spellEnd"/>
      <w:r w:rsidRPr="00E20135">
        <w:rPr>
          <w:i/>
          <w:iCs/>
          <w:spacing w:val="-3"/>
          <w:lang w:val="fr-FR"/>
        </w:rPr>
        <w:t xml:space="preserve"> v. Hutchinson &amp; Co. (</w:t>
      </w:r>
      <w:proofErr w:type="spellStart"/>
      <w:r w:rsidRPr="00E20135">
        <w:rPr>
          <w:i/>
          <w:iCs/>
          <w:spacing w:val="-3"/>
          <w:lang w:val="fr-FR"/>
        </w:rPr>
        <w:t>Publishers</w:t>
      </w:r>
      <w:proofErr w:type="spellEnd"/>
      <w:r w:rsidRPr="00E20135">
        <w:rPr>
          <w:i/>
          <w:iCs/>
          <w:spacing w:val="-3"/>
          <w:lang w:val="fr-FR"/>
        </w:rPr>
        <w:t>), Ltd</w:t>
      </w:r>
      <w:r w:rsidRPr="00266DE1">
        <w:rPr>
          <w:rFonts w:ascii="Book Antiqua" w:hAnsi="Book Antiqua"/>
          <w:i/>
          <w:iCs/>
          <w:spacing w:val="-3"/>
          <w:lang w:val="fr-FR"/>
        </w:rPr>
        <w:t>.</w:t>
      </w:r>
      <w:r w:rsidRPr="00266DE1">
        <w:rPr>
          <w:spacing w:val="-3"/>
          <w:lang w:val="fr-FR"/>
        </w:rPr>
        <w:t xml:space="preserve">, </w:t>
      </w:r>
      <w:bookmarkStart w:id="0" w:name="reflex-caselaw-67712848"/>
      <w:bookmarkEnd w:id="0"/>
      <w:r w:rsidRPr="00266DE1">
        <w:rPr>
          <w:spacing w:val="-3"/>
          <w:lang w:val="fr-FR"/>
        </w:rPr>
        <w:t>[1936] 2 All E.R. 1496 (C.A.), à la p. 1507</w:t>
      </w:r>
      <w:r w:rsidR="00571C11">
        <w:rPr>
          <w:spacing w:val="-3"/>
          <w:lang w:val="fr-FR"/>
        </w:rPr>
        <w:t xml:space="preserve"> </w:t>
      </w:r>
      <w:r w:rsidRPr="00266DE1">
        <w:rPr>
          <w:spacing w:val="-3"/>
          <w:lang w:val="fr-FR"/>
        </w:rPr>
        <w:t>:</w:t>
      </w:r>
    </w:p>
    <w:p w:rsidR="00B77AA4" w:rsidRPr="00266DE1" w:rsidRDefault="00B77AA4" w:rsidP="003B7906">
      <w:pPr>
        <w:pStyle w:val="Citation-AltC"/>
        <w:ind w:hanging="1166"/>
        <w:contextualSpacing w:val="0"/>
        <w:rPr>
          <w:spacing w:val="-3"/>
          <w:lang w:val="fr-FR"/>
        </w:rPr>
      </w:pPr>
      <w:r w:rsidRPr="00266DE1">
        <w:rPr>
          <w:spacing w:val="-3"/>
          <w:lang w:val="fr-FR"/>
        </w:rPr>
        <w:tab/>
        <w:t>[</w:t>
      </w:r>
      <w:r w:rsidRPr="00266DE1">
        <w:rPr>
          <w:smallCaps/>
          <w:spacing w:val="-3"/>
          <w:lang w:val="fr-FR"/>
        </w:rPr>
        <w:t>traduction</w:t>
      </w:r>
      <w:r w:rsidRPr="00266DE1">
        <w:rPr>
          <w:spacing w:val="-3"/>
          <w:lang w:val="fr-FR"/>
        </w:rPr>
        <w:t xml:space="preserve">]  </w:t>
      </w:r>
      <w:r w:rsidRPr="00266DE1">
        <w:rPr>
          <w:spacing w:val="-3"/>
          <w:u w:val="single"/>
          <w:lang w:val="fr-FR"/>
        </w:rPr>
        <w:t xml:space="preserve">Le paragraphe 1(2) de la Copyright </w:t>
      </w:r>
      <w:proofErr w:type="spellStart"/>
      <w:r w:rsidRPr="00266DE1">
        <w:rPr>
          <w:spacing w:val="-3"/>
          <w:u w:val="single"/>
          <w:lang w:val="fr-FR"/>
        </w:rPr>
        <w:t>Act</w:t>
      </w:r>
      <w:proofErr w:type="spellEnd"/>
      <w:r w:rsidRPr="00266DE1">
        <w:rPr>
          <w:spacing w:val="-3"/>
          <w:u w:val="single"/>
          <w:lang w:val="fr-FR"/>
        </w:rPr>
        <w:t>, 1911 [sur laquelle la Loi canadienne est modelée] expose les droits du titulaire d’un droit d’auteur.  Il énumère certains actes que seul le titulaire d’un droit d’auteur peut accomplir.  Le droit d’accomplir chacun de ces actes est, à mon avis, un droit distinct, créé par la loi</w:t>
      </w:r>
      <w:r w:rsidRPr="00266DE1">
        <w:rPr>
          <w:spacing w:val="-3"/>
          <w:lang w:val="fr-FR"/>
        </w:rPr>
        <w:t>, et quiconque accomplit l’un de ces actes sans le consentement du titulaire du droit d’auteur commet de ce fait un délit; s’il en accomplit deux, il commet deux délits et ainsi de suite.</w:t>
      </w:r>
      <w:r w:rsidR="00E20135">
        <w:rPr>
          <w:spacing w:val="-3"/>
          <w:lang w:val="fr-FR"/>
        </w:rPr>
        <w:t xml:space="preserve">  </w:t>
      </w:r>
      <w:r w:rsidR="00E20135" w:rsidRPr="00266DE1">
        <w:rPr>
          <w:spacing w:val="-3"/>
          <w:lang w:val="fr-FR"/>
        </w:rPr>
        <w:t>[Je souligne.]</w:t>
      </w:r>
    </w:p>
    <w:p w:rsidR="00B77AA4" w:rsidRPr="00266DE1" w:rsidRDefault="00B77AA4" w:rsidP="00B77AA4">
      <w:pPr>
        <w:pStyle w:val="ParaNoNdepar-AltN"/>
        <w:rPr>
          <w:lang w:val="fr-CA"/>
        </w:rPr>
      </w:pPr>
      <w:r w:rsidRPr="00266DE1">
        <w:rPr>
          <w:lang w:val="fr-CA"/>
        </w:rPr>
        <w:t>La violation d’un droit n’exclut pas la violation d’un autre.  Puisque « [la violation</w:t>
      </w:r>
      <w:r w:rsidRPr="00266DE1">
        <w:rPr>
          <w:lang w:val="fr-FR"/>
        </w:rPr>
        <w:t xml:space="preserve">] consiste simplement [dans] l’exécution d’un acte que seul </w:t>
      </w:r>
      <w:r w:rsidRPr="00266DE1">
        <w:rPr>
          <w:lang w:val="fr-CA"/>
        </w:rPr>
        <w:t>“</w:t>
      </w:r>
      <w:r w:rsidRPr="00266DE1">
        <w:rPr>
          <w:lang w:val="fr-FR"/>
        </w:rPr>
        <w:t>le titulaire [du droit d’auteur] a la faculté d’exécuter</w:t>
      </w:r>
      <w:r w:rsidRPr="00266DE1">
        <w:rPr>
          <w:lang w:val="fr-CA"/>
        </w:rPr>
        <w:t>” </w:t>
      </w:r>
      <w:r w:rsidRPr="00266DE1">
        <w:rPr>
          <w:lang w:val="fr-FR"/>
        </w:rPr>
        <w:t>»</w:t>
      </w:r>
      <w:r w:rsidRPr="00266DE1">
        <w:rPr>
          <w:lang w:val="fr-CA"/>
        </w:rPr>
        <w:t xml:space="preserve"> (</w:t>
      </w:r>
      <w:r w:rsidRPr="00266DE1">
        <w:rPr>
          <w:i/>
          <w:lang w:val="fr-CA"/>
        </w:rPr>
        <w:t>Compo Co. c. Blue Crest Music Inc.</w:t>
      </w:r>
      <w:r w:rsidR="00E20135" w:rsidRPr="00E20135">
        <w:rPr>
          <w:lang w:val="fr-CA"/>
        </w:rPr>
        <w:t>,</w:t>
      </w:r>
      <w:r w:rsidRPr="00266DE1">
        <w:rPr>
          <w:lang w:val="fr-CA"/>
        </w:rPr>
        <w:t xml:space="preserve"> p. 375), deux actes protégés accomplis sans l’autorisation du titulaire du droit d’auteur se traduisent par deux violations.  L’existence de deux droits protégés ne restreint pas la protection conférée par chacun des droits.</w:t>
      </w:r>
    </w:p>
    <w:p w:rsidR="00B77AA4" w:rsidRPr="00266DE1" w:rsidRDefault="00B77AA4" w:rsidP="00B77AA4">
      <w:pPr>
        <w:pStyle w:val="ParaNoNdepar-AltN"/>
        <w:rPr>
          <w:lang w:val="fr-CA"/>
        </w:rPr>
      </w:pPr>
      <w:r w:rsidRPr="00266DE1">
        <w:rPr>
          <w:lang w:val="fr-CA"/>
        </w:rPr>
        <w:t xml:space="preserve">Je ne puis convenir avec mes collègues que « nous interprétions la </w:t>
      </w:r>
      <w:r w:rsidRPr="00266DE1">
        <w:rPr>
          <w:i/>
          <w:lang w:val="fr-CA"/>
        </w:rPr>
        <w:t>Loi sur le droit d’auteur</w:t>
      </w:r>
      <w:r w:rsidRPr="00266DE1">
        <w:rPr>
          <w:lang w:val="fr-CA"/>
        </w:rPr>
        <w:t xml:space="preserve"> de manière à ne pas créer un palier supplémentaire de protection et d’exigibilité d’une redevance qui soit uniquement fondé sur le </w:t>
      </w:r>
      <w:r w:rsidRPr="00266DE1">
        <w:rPr>
          <w:i/>
          <w:lang w:val="fr-CA"/>
        </w:rPr>
        <w:t xml:space="preserve">mode de livraison </w:t>
      </w:r>
      <w:r w:rsidRPr="00266DE1">
        <w:rPr>
          <w:lang w:val="fr-CA"/>
        </w:rPr>
        <w:t>de l’œuvre à l’utilisateur</w:t>
      </w:r>
      <w:r>
        <w:rPr>
          <w:lang w:val="fr-CA"/>
        </w:rPr>
        <w:t> » (par. </w:t>
      </w:r>
      <w:r w:rsidRPr="00266DE1">
        <w:rPr>
          <w:lang w:val="fr-CA"/>
        </w:rPr>
        <w:t>9 (</w:t>
      </w:r>
      <w:r w:rsidR="00E20135">
        <w:rPr>
          <w:lang w:val="fr-CA"/>
        </w:rPr>
        <w:t>en italique</w:t>
      </w:r>
      <w:r w:rsidRPr="00266DE1">
        <w:rPr>
          <w:lang w:val="fr-CA"/>
        </w:rPr>
        <w:t xml:space="preserve"> dans l’original)).  Assimiler une transmission Internet à un simple « mode de livraison » de l’œuvre neutralise l’application du droit de communiquer par télécommunication prévu à l’al. 3(1)</w:t>
      </w:r>
      <w:r w:rsidRPr="00266DE1">
        <w:rPr>
          <w:i/>
          <w:lang w:val="fr-CA"/>
        </w:rPr>
        <w:t>f</w:t>
      </w:r>
      <w:r w:rsidRPr="00266DE1">
        <w:rPr>
          <w:lang w:val="fr-CA"/>
        </w:rPr>
        <w:t xml:space="preserve">).  En outre, leur avis est incompatible avec la définition de la neutralité du support énoncée </w:t>
      </w:r>
      <w:r w:rsidRPr="00266DE1">
        <w:rPr>
          <w:lang w:val="fr-CA"/>
        </w:rPr>
        <w:lastRenderedPageBreak/>
        <w:t xml:space="preserve">par les juges LeBel et Fish au nom des juges majoritaires dans l’arrêt </w:t>
      </w:r>
      <w:r w:rsidRPr="00266DE1">
        <w:rPr>
          <w:i/>
          <w:lang w:val="fr-CA"/>
        </w:rPr>
        <w:t>Robertson c. Thomson Corp.</w:t>
      </w:r>
      <w:r w:rsidRPr="00266DE1">
        <w:rPr>
          <w:lang w:val="fr-CA"/>
        </w:rPr>
        <w:t>, 2006 CSC 43, [2006] 2 R.C.S. 363, par. 49 :</w:t>
      </w:r>
    </w:p>
    <w:p w:rsidR="00B77AA4" w:rsidRPr="00266DE1" w:rsidRDefault="00D37B90" w:rsidP="00D37B90">
      <w:pPr>
        <w:pStyle w:val="Citation-AltC"/>
        <w:tabs>
          <w:tab w:val="left" w:pos="1170"/>
        </w:tabs>
        <w:ind w:hanging="1166"/>
        <w:rPr>
          <w:lang w:val="fr-CA"/>
        </w:rPr>
      </w:pPr>
      <w:r>
        <w:rPr>
          <w:lang w:val="fr-CA"/>
        </w:rPr>
        <w:tab/>
      </w:r>
      <w:r w:rsidR="00B77AA4" w:rsidRPr="00266DE1">
        <w:rPr>
          <w:lang w:val="fr-CA"/>
        </w:rPr>
        <w:t xml:space="preserve">La neutralité du support signifie que la </w:t>
      </w:r>
      <w:r w:rsidR="00B77AA4" w:rsidRPr="00266DE1">
        <w:rPr>
          <w:i/>
          <w:iCs/>
          <w:lang w:val="fr-CA"/>
        </w:rPr>
        <w:t>Loi sur le droit d’auteur</w:t>
      </w:r>
      <w:r w:rsidR="00B77AA4" w:rsidRPr="00266DE1">
        <w:rPr>
          <w:lang w:val="fr-CA"/>
        </w:rPr>
        <w:t xml:space="preserve"> continue de s’appliquer malgré l’usage de supports différents, y compris ceux qui dépendent d’une technologie plus avancée.  Elle ne signifie toutefois pas qu’après sa conversion en données électroniques, une œuvre peut être utilisée n’importe comment. </w:t>
      </w:r>
      <w:r w:rsidR="00E20135">
        <w:rPr>
          <w:lang w:val="fr-CA"/>
        </w:rPr>
        <w:t>[</w:t>
      </w:r>
      <w:r w:rsidR="00B77AA4" w:rsidRPr="00266DE1">
        <w:rPr>
          <w:i/>
          <w:iCs/>
          <w:lang w:val="fr-CA"/>
        </w:rPr>
        <w:t>.</w:t>
      </w:r>
      <w:r w:rsidR="00B77AA4" w:rsidRPr="00266DE1">
        <w:rPr>
          <w:iCs/>
          <w:lang w:val="fr-CA"/>
        </w:rPr>
        <w:t> . .</w:t>
      </w:r>
      <w:r w:rsidR="00E20135">
        <w:rPr>
          <w:iCs/>
          <w:lang w:val="fr-CA"/>
        </w:rPr>
        <w:t>]</w:t>
      </w:r>
      <w:r w:rsidR="00B77AA4" w:rsidRPr="00266DE1">
        <w:rPr>
          <w:i/>
          <w:iCs/>
          <w:lang w:val="fr-CA"/>
        </w:rPr>
        <w:t xml:space="preserve">  </w:t>
      </w:r>
      <w:r w:rsidR="00B77AA4" w:rsidRPr="00266DE1">
        <w:rPr>
          <w:lang w:val="fr-CA"/>
        </w:rPr>
        <w:t xml:space="preserve">Le principe de la neutralité du support ne permet pas d’écarter les droits des auteurs — il a été établi pour protéger les droits des auteurs et des autres à mesure que la technologie évolue. </w:t>
      </w:r>
    </w:p>
    <w:p w:rsidR="00B77AA4" w:rsidRPr="00266DE1" w:rsidRDefault="00B77AA4" w:rsidP="00B77AA4">
      <w:pPr>
        <w:pStyle w:val="ParaNoNdepar-AltN"/>
        <w:rPr>
          <w:lang w:val="fr-CA"/>
        </w:rPr>
      </w:pPr>
      <w:r w:rsidRPr="00266DE1">
        <w:rPr>
          <w:lang w:val="fr-CA"/>
        </w:rPr>
        <w:t>Suivant une application — neutre quant au support — de la Loi aux faits de l’espèce, le droit de reproduction demeure applicable à l’exemplaire obtenu par téléchargement, même si celui</w:t>
      </w:r>
      <w:r w:rsidR="002F38C1">
        <w:rPr>
          <w:lang w:val="fr-CA"/>
        </w:rPr>
        <w:t>-</w:t>
      </w:r>
      <w:r w:rsidRPr="00266DE1">
        <w:rPr>
          <w:lang w:val="fr-CA"/>
        </w:rPr>
        <w:t xml:space="preserve">ci est </w:t>
      </w:r>
      <w:r w:rsidRPr="00266DE1">
        <w:rPr>
          <w:i/>
          <w:lang w:val="fr-CA"/>
        </w:rPr>
        <w:t>numérique</w:t>
      </w:r>
      <w:r w:rsidRPr="00266DE1">
        <w:rPr>
          <w:lang w:val="fr-CA"/>
        </w:rPr>
        <w:t xml:space="preserve">, et le droit de communication s’applique toujours aux communications numériques, bien qu’elles puissent différer des technologies de diffusion traditionnelles.  Cependant, pareille application de la Loi </w:t>
      </w:r>
      <w:r w:rsidRPr="00266DE1">
        <w:rPr>
          <w:i/>
          <w:lang w:val="fr-CA"/>
        </w:rPr>
        <w:t>ne</w:t>
      </w:r>
      <w:r w:rsidRPr="00266DE1">
        <w:rPr>
          <w:lang w:val="fr-CA"/>
        </w:rPr>
        <w:t xml:space="preserve"> saurait permettre à une cour de justice de faire abstraction du sens ordinaire des mots employés par le législateur et d’accorder au titulaire du droit d’auteur la protection qu’elle estime indiquée.</w:t>
      </w:r>
    </w:p>
    <w:p w:rsidR="00B77AA4" w:rsidRPr="00266DE1" w:rsidRDefault="00B77AA4" w:rsidP="00B77AA4">
      <w:pPr>
        <w:pStyle w:val="ParaNoNdepar-AltN"/>
        <w:rPr>
          <w:lang w:val="fr-CA"/>
        </w:rPr>
      </w:pPr>
      <w:r w:rsidRPr="00266DE1">
        <w:rPr>
          <w:lang w:val="fr-CA"/>
        </w:rPr>
        <w:t>L’existence de droits protégés distincts dans l’environnement numérique tient à des considérations de politique générale dont tient compte à juste titre le législateur lorsqu’il définit le droit d’auteur.  « </w:t>
      </w:r>
      <w:r w:rsidRPr="00266DE1">
        <w:rPr>
          <w:lang w:val="fr-FR"/>
        </w:rPr>
        <w:t xml:space="preserve">La Loi est généralement présentée comme établissant un équilibre entre, d’une part, la promotion, dans l’intérêt du public, de la création et de la diffusion des œuvres artistiques et intellectuelles et, d’autre part, l’obtention d’une juste récompense pour le créateur » </w:t>
      </w:r>
      <w:r w:rsidRPr="00266DE1">
        <w:rPr>
          <w:lang w:val="fr-CA"/>
        </w:rPr>
        <w:t>(</w:t>
      </w:r>
      <w:proofErr w:type="spellStart"/>
      <w:r w:rsidRPr="00266DE1">
        <w:rPr>
          <w:i/>
          <w:lang w:val="fr-CA"/>
        </w:rPr>
        <w:t>Théberge</w:t>
      </w:r>
      <w:proofErr w:type="spellEnd"/>
      <w:r w:rsidRPr="00266DE1">
        <w:rPr>
          <w:lang w:val="fr-CA"/>
        </w:rPr>
        <w:t xml:space="preserve">, </w:t>
      </w:r>
      <w:r w:rsidRPr="00266DE1">
        <w:rPr>
          <w:lang w:val="fr-CA"/>
        </w:rPr>
        <w:lastRenderedPageBreak/>
        <w:t>par. 30).  Dans la mesure où « </w:t>
      </w:r>
      <w:r w:rsidRPr="00266DE1">
        <w:rPr>
          <w:lang w:val="fr-FR"/>
        </w:rPr>
        <w:t xml:space="preserve">les tribunaux doivent s’efforcer de maintenir un juste équilibre entre ces deux objectifs » </w:t>
      </w:r>
      <w:r w:rsidRPr="00266DE1">
        <w:rPr>
          <w:lang w:val="fr-CA"/>
        </w:rPr>
        <w:t>(</w:t>
      </w:r>
      <w:r w:rsidRPr="00266DE1">
        <w:rPr>
          <w:i/>
          <w:lang w:val="fr-CA"/>
        </w:rPr>
        <w:t xml:space="preserve">CCH Canadienne </w:t>
      </w:r>
      <w:proofErr w:type="spellStart"/>
      <w:r w:rsidRPr="00266DE1">
        <w:rPr>
          <w:i/>
          <w:lang w:val="fr-CA"/>
        </w:rPr>
        <w:t>Ltée</w:t>
      </w:r>
      <w:proofErr w:type="spellEnd"/>
      <w:r w:rsidRPr="00266DE1">
        <w:rPr>
          <w:lang w:val="fr-CA"/>
        </w:rPr>
        <w:t>, par. 10), ils outrepasseraient leurs pouvoirs si, en l’espèce, ils déduisaient l’existence de limites applicables au droit de communication.  « </w:t>
      </w:r>
      <w:r w:rsidRPr="00266DE1">
        <w:rPr>
          <w:lang w:val="fr-FR"/>
        </w:rPr>
        <w:t>Au Canada, le droit d’auteur tire [encore] son origine de la loi »</w:t>
      </w:r>
      <w:r w:rsidRPr="00266DE1">
        <w:rPr>
          <w:lang w:val="fr-CA"/>
        </w:rPr>
        <w:t xml:space="preserve"> (</w:t>
      </w:r>
      <w:r w:rsidRPr="00266DE1">
        <w:rPr>
          <w:i/>
          <w:lang w:val="fr-CA"/>
        </w:rPr>
        <w:t>SOCAN c. ACFI</w:t>
      </w:r>
      <w:r w:rsidRPr="00266DE1">
        <w:rPr>
          <w:lang w:val="fr-CA"/>
        </w:rPr>
        <w:t xml:space="preserve">, par. 82).  Voir également </w:t>
      </w:r>
      <w:r w:rsidRPr="00266DE1">
        <w:rPr>
          <w:i/>
          <w:lang w:val="fr-CA"/>
        </w:rPr>
        <w:t>CCH</w:t>
      </w:r>
      <w:r w:rsidRPr="00266DE1">
        <w:rPr>
          <w:lang w:val="fr-CA"/>
        </w:rPr>
        <w:t xml:space="preserve">, par. 9; </w:t>
      </w:r>
      <w:proofErr w:type="spellStart"/>
      <w:r w:rsidRPr="00266DE1">
        <w:rPr>
          <w:i/>
          <w:lang w:val="fr-CA"/>
        </w:rPr>
        <w:t>Théberge</w:t>
      </w:r>
      <w:proofErr w:type="spellEnd"/>
      <w:r w:rsidRPr="00266DE1">
        <w:rPr>
          <w:lang w:val="fr-CA"/>
        </w:rPr>
        <w:t xml:space="preserve">, par. 5; </w:t>
      </w:r>
      <w:r w:rsidRPr="00266DE1">
        <w:rPr>
          <w:i/>
          <w:lang w:val="fr-CA"/>
        </w:rPr>
        <w:t>Bishop c. Stevens</w:t>
      </w:r>
      <w:r w:rsidRPr="00266DE1">
        <w:rPr>
          <w:lang w:val="fr-CA"/>
        </w:rPr>
        <w:t xml:space="preserve">, p. 477; </w:t>
      </w:r>
      <w:r w:rsidRPr="00266DE1">
        <w:rPr>
          <w:i/>
          <w:lang w:val="fr-CA"/>
        </w:rPr>
        <w:t>Compo Co. c. Blue Crest Music Inc.</w:t>
      </w:r>
      <w:r w:rsidRPr="00266DE1">
        <w:rPr>
          <w:lang w:val="fr-CA"/>
        </w:rPr>
        <w:t xml:space="preserve">, p. 373.  </w:t>
      </w:r>
    </w:p>
    <w:p w:rsidR="00B77AA4" w:rsidRPr="00266DE1" w:rsidRDefault="00B77AA4" w:rsidP="00B77AA4">
      <w:pPr>
        <w:pStyle w:val="ParaNoNdepar-AltN"/>
        <w:rPr>
          <w:lang w:val="fr-CA"/>
        </w:rPr>
      </w:pPr>
      <w:r w:rsidRPr="00266DE1">
        <w:rPr>
          <w:lang w:val="fr-CA"/>
        </w:rPr>
        <w:t xml:space="preserve">En effet, il serait hasardeux que, sans disposer d’une vue d’ensemble des répercussions sur tous les intéressés, les tribunaux circonscrivent l’application, dans l’environnement numérique, de droits qui sont définis de manière générale.  Dans </w:t>
      </w:r>
      <w:r w:rsidRPr="00266DE1">
        <w:rPr>
          <w:i/>
          <w:lang w:val="fr-CA"/>
        </w:rPr>
        <w:t>SOCAN c. ACFI</w:t>
      </w:r>
      <w:r w:rsidRPr="00266DE1">
        <w:rPr>
          <w:lang w:val="fr-CA"/>
        </w:rPr>
        <w:t xml:space="preserve">, le juge Binnie dit ce qui suit au par. 40 : </w:t>
      </w:r>
    </w:p>
    <w:p w:rsidR="00B77AA4" w:rsidRPr="00266DE1" w:rsidRDefault="00E20135" w:rsidP="00E20135">
      <w:pPr>
        <w:pStyle w:val="Citation-AltC"/>
        <w:tabs>
          <w:tab w:val="left" w:pos="1170"/>
        </w:tabs>
        <w:ind w:hanging="1166"/>
        <w:rPr>
          <w:lang w:val="fr-CA"/>
        </w:rPr>
      </w:pPr>
      <w:r>
        <w:rPr>
          <w:lang w:val="fr-CA"/>
        </w:rPr>
        <w:tab/>
      </w:r>
      <w:r w:rsidR="00B77AA4" w:rsidRPr="00266DE1">
        <w:rPr>
          <w:lang w:val="fr-CA"/>
        </w:rPr>
        <w:t>La possibilité de diffuser des « œuvres artistiques et intellectuelles » grâce à [</w:t>
      </w:r>
      <w:r>
        <w:rPr>
          <w:lang w:val="fr-CA"/>
        </w:rPr>
        <w:t>. . .</w:t>
      </w:r>
      <w:r w:rsidR="00B77AA4" w:rsidRPr="00266DE1">
        <w:rPr>
          <w:lang w:val="fr-CA"/>
        </w:rPr>
        <w:t>]</w:t>
      </w:r>
      <w:r>
        <w:rPr>
          <w:lang w:val="fr-CA"/>
        </w:rPr>
        <w:t xml:space="preserve"> </w:t>
      </w:r>
      <w:r w:rsidR="00B77AA4" w:rsidRPr="00266DE1">
        <w:rPr>
          <w:lang w:val="fr-CA"/>
        </w:rPr>
        <w:t>Internet est l’une des grandes innovations de l’ère de l’information.  Le recours à [</w:t>
      </w:r>
      <w:r>
        <w:rPr>
          <w:lang w:val="fr-CA"/>
        </w:rPr>
        <w:t>. . .</w:t>
      </w:r>
      <w:r w:rsidR="00B77AA4" w:rsidRPr="00266DE1">
        <w:rPr>
          <w:lang w:val="fr-CA"/>
        </w:rPr>
        <w:t>] Internet doit être facilité, et non découragé, mais pas de manière injuste, au détriment des auteurs d’œuvres artistiques et intellectuelles.</w:t>
      </w:r>
    </w:p>
    <w:p w:rsidR="00B77AA4" w:rsidRPr="00266DE1" w:rsidRDefault="00B77AA4" w:rsidP="00B77AA4">
      <w:pPr>
        <w:pStyle w:val="ParaNoNdepar-AltN"/>
        <w:rPr>
          <w:lang w:val="fr-CA"/>
        </w:rPr>
      </w:pPr>
      <w:r w:rsidRPr="00266DE1">
        <w:rPr>
          <w:lang w:val="fr-CA"/>
        </w:rPr>
        <w:t xml:space="preserve">Au vu de ces considérations, prévoir des exceptions au droit de communiquer par télécommunication ressortit à juste titre au législateur.  De fait, ce dernier légifère lorsqu’il l’estime nécessaire pour rétablir le juste équilibre en matière de protection du droit d’auteur, ce qu’il a notamment fait en donnant suite à l’arrêt </w:t>
      </w:r>
      <w:r w:rsidRPr="00266DE1">
        <w:rPr>
          <w:i/>
          <w:lang w:val="fr-CA"/>
        </w:rPr>
        <w:t>Bishop</w:t>
      </w:r>
      <w:r w:rsidRPr="00266DE1">
        <w:rPr>
          <w:lang w:val="fr-CA"/>
        </w:rPr>
        <w:t xml:space="preserve"> par l’adoption </w:t>
      </w:r>
      <w:r w:rsidR="00571C11">
        <w:rPr>
          <w:lang w:val="fr-CA"/>
        </w:rPr>
        <w:t xml:space="preserve">du par. 30.8(1) prévoyant </w:t>
      </w:r>
      <w:r w:rsidRPr="00266DE1">
        <w:rPr>
          <w:lang w:val="fr-CA"/>
        </w:rPr>
        <w:t xml:space="preserve">l’exception relative à l’enregistrement éphémère (L.C. 1997, ch. 24, art. 18); </w:t>
      </w:r>
      <w:proofErr w:type="spellStart"/>
      <w:r w:rsidRPr="00266DE1">
        <w:rPr>
          <w:lang w:val="fr-CA"/>
        </w:rPr>
        <w:t>McKeown</w:t>
      </w:r>
      <w:proofErr w:type="spellEnd"/>
      <w:r w:rsidRPr="00266DE1">
        <w:rPr>
          <w:lang w:val="fr-CA"/>
        </w:rPr>
        <w:t>, p. 21-82 à 21-83.</w:t>
      </w:r>
    </w:p>
    <w:p w:rsidR="00B77AA4" w:rsidRPr="00266DE1" w:rsidRDefault="00B77AA4" w:rsidP="00B77AA4">
      <w:pPr>
        <w:pStyle w:val="ParaNoNdepar-AltN"/>
        <w:rPr>
          <w:lang w:val="fr-CA"/>
        </w:rPr>
      </w:pPr>
      <w:r w:rsidRPr="00266DE1">
        <w:rPr>
          <w:lang w:val="fr-CA"/>
        </w:rPr>
        <w:lastRenderedPageBreak/>
        <w:t>De plus, rappelons que la SOCAN ne fait que présenter des projets tarifaires qui doivent ensuite être homologués par la Commission, laquelle peut alors ajuster au besoin le montant d’une redevance pour une utilisation donnée.  Tout particulièrement, lorsqu’une activité fait intervenir deux droits protégés, la Commission est en mesure de considérer chacun de ces droits au regard de l’utilisation qui sous</w:t>
      </w:r>
      <w:r w:rsidR="002F38C1">
        <w:rPr>
          <w:lang w:val="fr-CA"/>
        </w:rPr>
        <w:t>-</w:t>
      </w:r>
      <w:r w:rsidRPr="00266DE1">
        <w:rPr>
          <w:lang w:val="fr-CA"/>
        </w:rPr>
        <w:t>tend l’activité.  Cette faculté est conforme à sa mission essentielle en tant qu’organisme administratif à vocation économique, à savoir « </w:t>
      </w:r>
      <w:r w:rsidRPr="00266DE1">
        <w:rPr>
          <w:lang w:val="fr-FR"/>
        </w:rPr>
        <w:t>la mise au point d’un tarif de redevances approprié »</w:t>
      </w:r>
      <w:r w:rsidRPr="00266DE1">
        <w:rPr>
          <w:lang w:val="fr-CA"/>
        </w:rPr>
        <w:t xml:space="preserve"> (</w:t>
      </w:r>
      <w:r w:rsidRPr="00266DE1">
        <w:rPr>
          <w:i/>
          <w:lang w:val="fr-CA"/>
        </w:rPr>
        <w:t>SOCAN c. ACFI</w:t>
      </w:r>
      <w:r w:rsidRPr="00266DE1">
        <w:rPr>
          <w:lang w:val="fr-CA"/>
        </w:rPr>
        <w:t xml:space="preserve">, par. 49) fondé sur la valeur économique des différents modes d’utilisation des œuvres protégées.  Le pouvoir de la Commission de fixer le montant d’une redevance en fonction de données factuelles permet la prise en compte de la valeur du service offert par un fournisseur de jeux en ligne comparativement à celle du service qu’offre un magasin traditionnel, ainsi que du chevauchement des droits et de la « double rémunération » éventuelle du titulaire du droit d’auteur.  </w:t>
      </w:r>
    </w:p>
    <w:p w:rsidR="00B77AA4" w:rsidRPr="00266DE1" w:rsidRDefault="00B77AA4" w:rsidP="00E20135">
      <w:pPr>
        <w:pStyle w:val="TitleTitre-AltT"/>
        <w:tabs>
          <w:tab w:val="clear" w:pos="360"/>
          <w:tab w:val="left" w:pos="540"/>
        </w:tabs>
        <w:ind w:left="540" w:hanging="540"/>
        <w:rPr>
          <w:u w:val="single"/>
          <w:lang w:val="fr-CA"/>
        </w:rPr>
      </w:pPr>
      <w:r w:rsidRPr="00266DE1">
        <w:rPr>
          <w:lang w:val="fr-CA"/>
        </w:rPr>
        <w:t>IV.</w:t>
      </w:r>
      <w:r w:rsidRPr="00266DE1">
        <w:rPr>
          <w:lang w:val="fr-CA"/>
        </w:rPr>
        <w:tab/>
      </w:r>
      <w:r w:rsidRPr="00266DE1">
        <w:rPr>
          <w:u w:val="single"/>
          <w:lang w:val="fr-CA"/>
        </w:rPr>
        <w:t xml:space="preserve">Conclusion </w:t>
      </w:r>
      <w:r w:rsidRPr="00266DE1">
        <w:rPr>
          <w:rFonts w:cs="Times New Roman"/>
          <w:u w:val="single"/>
          <w:lang w:val="fr-CA"/>
        </w:rPr>
        <w:t>—</w:t>
      </w:r>
      <w:r w:rsidRPr="00266DE1">
        <w:rPr>
          <w:u w:val="single"/>
          <w:lang w:val="fr-CA"/>
        </w:rPr>
        <w:t xml:space="preserve"> Le sens du mot « communiquer » employé à l’al</w:t>
      </w:r>
      <w:r w:rsidR="00C835A5">
        <w:rPr>
          <w:u w:val="single"/>
          <w:lang w:val="fr-CA"/>
        </w:rPr>
        <w:t>.</w:t>
      </w:r>
      <w:r w:rsidRPr="00266DE1">
        <w:rPr>
          <w:u w:val="single"/>
          <w:lang w:val="fr-CA"/>
        </w:rPr>
        <w:t> 3(1)</w:t>
      </w:r>
      <w:r w:rsidRPr="00266DE1">
        <w:rPr>
          <w:i/>
          <w:u w:val="single"/>
          <w:lang w:val="fr-CA"/>
        </w:rPr>
        <w:t>f</w:t>
      </w:r>
      <w:r w:rsidRPr="00266DE1">
        <w:rPr>
          <w:u w:val="single"/>
          <w:lang w:val="fr-CA"/>
        </w:rPr>
        <w:t>)</w:t>
      </w:r>
    </w:p>
    <w:p w:rsidR="00B77AA4" w:rsidRPr="00266DE1" w:rsidRDefault="00B77AA4" w:rsidP="00B77AA4">
      <w:pPr>
        <w:pStyle w:val="ParaNoNdepar-AltN"/>
        <w:rPr>
          <w:lang w:val="fr-CA"/>
        </w:rPr>
      </w:pPr>
      <w:r w:rsidRPr="00266DE1">
        <w:rPr>
          <w:lang w:val="fr-CA"/>
        </w:rPr>
        <w:t xml:space="preserve">Communiquer une œuvre au public par télécommunication est un droit autonome et distinct des autres droits que confère à l’auteur le par. 3(1).  Ce droit est exercé dès réception de la communication, en l’occurrence au moment du téléchargement du fichier dans l’ordinateur de l’utilisateur, bien que le fichier puisse ne pas être perçu dès sa transmission, ni même jamais.  Comme le dit le professeur </w:t>
      </w:r>
      <w:proofErr w:type="spellStart"/>
      <w:r w:rsidRPr="00266DE1">
        <w:rPr>
          <w:lang w:val="fr-CA"/>
        </w:rPr>
        <w:t>Vaver</w:t>
      </w:r>
      <w:proofErr w:type="spellEnd"/>
      <w:r w:rsidRPr="00266DE1">
        <w:rPr>
          <w:lang w:val="fr-CA"/>
        </w:rPr>
        <w:t>, [</w:t>
      </w:r>
      <w:r w:rsidRPr="00266DE1">
        <w:rPr>
          <w:smallCaps/>
          <w:lang w:val="fr-CA"/>
        </w:rPr>
        <w:t>traduction</w:t>
      </w:r>
      <w:r w:rsidRPr="00266DE1">
        <w:rPr>
          <w:lang w:val="fr-CA"/>
        </w:rPr>
        <w:t xml:space="preserve">] « [l]’envoi d’œuvres par radio, télévision, câble, télécopieur, </w:t>
      </w:r>
      <w:r w:rsidRPr="00266DE1">
        <w:rPr>
          <w:lang w:val="fr-CA"/>
        </w:rPr>
        <w:lastRenderedPageBreak/>
        <w:t>modem, satellite ou micro</w:t>
      </w:r>
      <w:r w:rsidR="002F38C1">
        <w:rPr>
          <w:lang w:val="fr-CA"/>
        </w:rPr>
        <w:t>-</w:t>
      </w:r>
      <w:r w:rsidRPr="00266DE1">
        <w:rPr>
          <w:lang w:val="fr-CA"/>
        </w:rPr>
        <w:t xml:space="preserve">ondes implique une télécommunication »; si, en outre, la communication est faite « au public », elle engage la responsabilité (p. 172).  </w:t>
      </w:r>
    </w:p>
    <w:p w:rsidR="00B77AA4" w:rsidRPr="00266DE1" w:rsidRDefault="00B77AA4" w:rsidP="00B77AA4">
      <w:pPr>
        <w:pStyle w:val="ParaNoNdepar-AltN"/>
        <w:rPr>
          <w:lang w:val="fr-CA"/>
        </w:rPr>
      </w:pPr>
      <w:r w:rsidRPr="00266DE1">
        <w:rPr>
          <w:lang w:val="fr-CA"/>
        </w:rPr>
        <w:t xml:space="preserve">Je suis d’avis de rejeter le pourvoi avec dépens.  </w:t>
      </w:r>
    </w:p>
    <w:p w:rsidR="0033393C" w:rsidRPr="00922A86" w:rsidRDefault="0033393C" w:rsidP="0010710D">
      <w:pPr>
        <w:pStyle w:val="SCCNormalDoubleSpacing"/>
        <w:spacing w:after="480"/>
        <w:rPr>
          <w:szCs w:val="24"/>
        </w:rPr>
      </w:pPr>
      <w:r w:rsidRPr="00922A86">
        <w:rPr>
          <w:szCs w:val="24"/>
        </w:rPr>
        <w:tab/>
      </w:r>
      <w:r w:rsidR="00140C39" w:rsidRPr="00922A86">
        <w:rPr>
          <w:i/>
          <w:szCs w:val="24"/>
        </w:rPr>
        <w:t xml:space="preserve">Pourvoi </w:t>
      </w:r>
      <w:r w:rsidR="00453792" w:rsidRPr="00922A86">
        <w:rPr>
          <w:i/>
          <w:szCs w:val="24"/>
        </w:rPr>
        <w:t xml:space="preserve">accueilli </w:t>
      </w:r>
      <w:r w:rsidR="00CA1869" w:rsidRPr="00922A86">
        <w:rPr>
          <w:i/>
          <w:szCs w:val="24"/>
        </w:rPr>
        <w:t>avec dépens</w:t>
      </w:r>
      <w:r w:rsidR="00453792" w:rsidRPr="00922A86">
        <w:rPr>
          <w:i/>
          <w:szCs w:val="24"/>
        </w:rPr>
        <w:t>,</w:t>
      </w:r>
      <w:r w:rsidR="005A08DE" w:rsidRPr="00922A86">
        <w:rPr>
          <w:i/>
          <w:szCs w:val="24"/>
        </w:rPr>
        <w:t xml:space="preserve"> les juges </w:t>
      </w:r>
      <w:proofErr w:type="spellStart"/>
      <w:r w:rsidR="005A08DE" w:rsidRPr="00922A86">
        <w:rPr>
          <w:smallCaps/>
          <w:szCs w:val="24"/>
        </w:rPr>
        <w:t>LeBel</w:t>
      </w:r>
      <w:proofErr w:type="spellEnd"/>
      <w:r w:rsidR="005A08DE" w:rsidRPr="00922A86">
        <w:rPr>
          <w:i/>
          <w:szCs w:val="24"/>
        </w:rPr>
        <w:t xml:space="preserve">, </w:t>
      </w:r>
      <w:r w:rsidR="005A08DE" w:rsidRPr="00922A86">
        <w:rPr>
          <w:smallCaps/>
          <w:szCs w:val="24"/>
        </w:rPr>
        <w:t>Fish</w:t>
      </w:r>
      <w:r w:rsidR="005A08DE" w:rsidRPr="00922A86">
        <w:rPr>
          <w:i/>
          <w:szCs w:val="24"/>
        </w:rPr>
        <w:t xml:space="preserve">, </w:t>
      </w:r>
      <w:proofErr w:type="spellStart"/>
      <w:r w:rsidR="005A08DE" w:rsidRPr="00922A86">
        <w:rPr>
          <w:smallCaps/>
          <w:szCs w:val="24"/>
        </w:rPr>
        <w:t>Rothstein</w:t>
      </w:r>
      <w:proofErr w:type="spellEnd"/>
      <w:r w:rsidR="005A08DE" w:rsidRPr="00922A86">
        <w:rPr>
          <w:i/>
          <w:szCs w:val="24"/>
        </w:rPr>
        <w:t xml:space="preserve"> et </w:t>
      </w:r>
      <w:r w:rsidR="005A08DE" w:rsidRPr="00922A86">
        <w:rPr>
          <w:smallCaps/>
          <w:szCs w:val="24"/>
        </w:rPr>
        <w:t>Cromwell</w:t>
      </w:r>
      <w:r w:rsidR="005A08DE" w:rsidRPr="00922A86">
        <w:rPr>
          <w:i/>
          <w:szCs w:val="24"/>
        </w:rPr>
        <w:t xml:space="preserve"> sont dissidents</w:t>
      </w:r>
      <w:r w:rsidR="00140C39" w:rsidRPr="00922A86">
        <w:rPr>
          <w:i/>
          <w:szCs w:val="24"/>
        </w:rPr>
        <w:t>.</w:t>
      </w:r>
    </w:p>
    <w:p w:rsidR="00CA1869" w:rsidRPr="00922A86" w:rsidRDefault="00CA1869" w:rsidP="0010710D">
      <w:pPr>
        <w:pStyle w:val="SCCLawFirm"/>
        <w:spacing w:after="480"/>
        <w:rPr>
          <w:szCs w:val="24"/>
        </w:rPr>
      </w:pPr>
      <w:r w:rsidRPr="00922A86">
        <w:rPr>
          <w:szCs w:val="24"/>
        </w:rPr>
        <w:tab/>
        <w:t>Procureurs des appelantes</w:t>
      </w:r>
      <w:r w:rsidR="0010710D" w:rsidRPr="00922A86">
        <w:rPr>
          <w:szCs w:val="24"/>
        </w:rPr>
        <w:t> :</w:t>
      </w:r>
      <w:r w:rsidR="007907AB" w:rsidRPr="00922A86">
        <w:rPr>
          <w:szCs w:val="24"/>
        </w:rPr>
        <w:t> </w:t>
      </w:r>
      <w:r w:rsidRPr="00922A86">
        <w:rPr>
          <w:szCs w:val="24"/>
        </w:rPr>
        <w:t xml:space="preserve">McCarthy </w:t>
      </w:r>
      <w:proofErr w:type="spellStart"/>
      <w:r w:rsidRPr="00922A86">
        <w:rPr>
          <w:szCs w:val="24"/>
        </w:rPr>
        <w:t>Tétrault</w:t>
      </w:r>
      <w:proofErr w:type="spellEnd"/>
      <w:r w:rsidRPr="00922A86">
        <w:rPr>
          <w:szCs w:val="24"/>
        </w:rPr>
        <w:t>, Toronto.</w:t>
      </w:r>
    </w:p>
    <w:p w:rsidR="00CA1869" w:rsidRPr="00922A86" w:rsidRDefault="00CA1869" w:rsidP="0010710D">
      <w:pPr>
        <w:pStyle w:val="SCCLawFirm"/>
        <w:spacing w:after="480"/>
        <w:rPr>
          <w:szCs w:val="24"/>
        </w:rPr>
      </w:pPr>
      <w:r w:rsidRPr="00922A86">
        <w:rPr>
          <w:szCs w:val="24"/>
        </w:rPr>
        <w:tab/>
        <w:t>Procureurs de l</w:t>
      </w:r>
      <w:r w:rsidR="00951CA2">
        <w:rPr>
          <w:szCs w:val="24"/>
        </w:rPr>
        <w:t>’</w:t>
      </w:r>
      <w:r w:rsidRPr="00922A86">
        <w:rPr>
          <w:szCs w:val="24"/>
        </w:rPr>
        <w:t>intimée</w:t>
      </w:r>
      <w:r w:rsidR="0010710D" w:rsidRPr="00922A86">
        <w:rPr>
          <w:szCs w:val="24"/>
        </w:rPr>
        <w:t> :</w:t>
      </w:r>
      <w:r w:rsidR="007907AB" w:rsidRPr="00922A86">
        <w:rPr>
          <w:szCs w:val="24"/>
        </w:rPr>
        <w:t> </w:t>
      </w:r>
      <w:proofErr w:type="spellStart"/>
      <w:r w:rsidRPr="00922A86">
        <w:rPr>
          <w:szCs w:val="24"/>
        </w:rPr>
        <w:t>Gowling</w:t>
      </w:r>
      <w:proofErr w:type="spellEnd"/>
      <w:r w:rsidRPr="00922A86">
        <w:rPr>
          <w:szCs w:val="24"/>
        </w:rPr>
        <w:t xml:space="preserve"> Lafleur Henderson, Ottawa.</w:t>
      </w:r>
    </w:p>
    <w:p w:rsidR="00CA1869" w:rsidRPr="00922A86" w:rsidRDefault="00CA1869" w:rsidP="0010710D">
      <w:pPr>
        <w:pStyle w:val="SCCLawFirm"/>
        <w:spacing w:after="480"/>
        <w:rPr>
          <w:szCs w:val="24"/>
        </w:rPr>
      </w:pPr>
      <w:r w:rsidRPr="00922A86">
        <w:rPr>
          <w:szCs w:val="24"/>
        </w:rPr>
        <w:tab/>
        <w:t>Procureurs de l</w:t>
      </w:r>
      <w:r w:rsidR="00951CA2">
        <w:rPr>
          <w:szCs w:val="24"/>
        </w:rPr>
        <w:t>’</w:t>
      </w:r>
      <w:r w:rsidRPr="00922A86">
        <w:rPr>
          <w:szCs w:val="24"/>
        </w:rPr>
        <w:t>intervenante CMRRA</w:t>
      </w:r>
      <w:r w:rsidR="002F38C1">
        <w:rPr>
          <w:szCs w:val="24"/>
        </w:rPr>
        <w:t>-</w:t>
      </w:r>
      <w:r w:rsidRPr="00922A86">
        <w:rPr>
          <w:szCs w:val="24"/>
        </w:rPr>
        <w:t>SODRAC Inc.</w:t>
      </w:r>
      <w:r w:rsidR="0010710D" w:rsidRPr="00922A86">
        <w:rPr>
          <w:szCs w:val="24"/>
        </w:rPr>
        <w:t> :</w:t>
      </w:r>
      <w:r w:rsidR="007907AB" w:rsidRPr="00922A86">
        <w:rPr>
          <w:szCs w:val="24"/>
        </w:rPr>
        <w:t> </w:t>
      </w:r>
      <w:proofErr w:type="spellStart"/>
      <w:r w:rsidRPr="00922A86">
        <w:rPr>
          <w:szCs w:val="24"/>
        </w:rPr>
        <w:t>Cassels</w:t>
      </w:r>
      <w:proofErr w:type="spellEnd"/>
      <w:r w:rsidRPr="00922A86">
        <w:rPr>
          <w:szCs w:val="24"/>
        </w:rPr>
        <w:t xml:space="preserve"> </w:t>
      </w:r>
      <w:proofErr w:type="spellStart"/>
      <w:r w:rsidRPr="00922A86">
        <w:rPr>
          <w:szCs w:val="24"/>
        </w:rPr>
        <w:t>Brock</w:t>
      </w:r>
      <w:proofErr w:type="spellEnd"/>
      <w:r w:rsidRPr="00922A86">
        <w:rPr>
          <w:szCs w:val="24"/>
        </w:rPr>
        <w:t xml:space="preserve"> &amp; </w:t>
      </w:r>
      <w:proofErr w:type="spellStart"/>
      <w:r w:rsidRPr="00922A86">
        <w:rPr>
          <w:szCs w:val="24"/>
        </w:rPr>
        <w:t>Blackwell</w:t>
      </w:r>
      <w:proofErr w:type="spellEnd"/>
      <w:r w:rsidRPr="00922A86">
        <w:rPr>
          <w:szCs w:val="24"/>
        </w:rPr>
        <w:t>, Toronto.</w:t>
      </w:r>
    </w:p>
    <w:p w:rsidR="00CA1869" w:rsidRPr="00922A86" w:rsidRDefault="00CA1869" w:rsidP="0010710D">
      <w:pPr>
        <w:pStyle w:val="SCCLawFirm"/>
        <w:spacing w:after="480"/>
        <w:rPr>
          <w:szCs w:val="24"/>
        </w:rPr>
      </w:pPr>
      <w:r w:rsidRPr="00922A86">
        <w:rPr>
          <w:szCs w:val="24"/>
        </w:rPr>
        <w:tab/>
        <w:t>Procureur de l</w:t>
      </w:r>
      <w:r w:rsidR="00951CA2">
        <w:rPr>
          <w:szCs w:val="24"/>
        </w:rPr>
        <w:t>’</w:t>
      </w:r>
      <w:r w:rsidRPr="00922A86">
        <w:rPr>
          <w:szCs w:val="24"/>
        </w:rPr>
        <w:t>intervenante la Clinique d</w:t>
      </w:r>
      <w:r w:rsidR="00951CA2">
        <w:rPr>
          <w:szCs w:val="24"/>
        </w:rPr>
        <w:t>’</w:t>
      </w:r>
      <w:r w:rsidRPr="00922A86">
        <w:rPr>
          <w:szCs w:val="24"/>
        </w:rPr>
        <w:t>intérêt public et de politique d</w:t>
      </w:r>
      <w:r w:rsidR="00951CA2">
        <w:rPr>
          <w:szCs w:val="24"/>
        </w:rPr>
        <w:t>’</w:t>
      </w:r>
      <w:r w:rsidRPr="00922A86">
        <w:rPr>
          <w:szCs w:val="24"/>
        </w:rPr>
        <w:t>internet du Canada Samuelson</w:t>
      </w:r>
      <w:r w:rsidR="002F38C1">
        <w:rPr>
          <w:szCs w:val="24"/>
        </w:rPr>
        <w:t>-</w:t>
      </w:r>
      <w:proofErr w:type="spellStart"/>
      <w:r w:rsidRPr="00922A86">
        <w:rPr>
          <w:szCs w:val="24"/>
        </w:rPr>
        <w:t>Glushko</w:t>
      </w:r>
      <w:proofErr w:type="spellEnd"/>
      <w:r w:rsidR="0010710D" w:rsidRPr="00922A86">
        <w:rPr>
          <w:szCs w:val="24"/>
        </w:rPr>
        <w:t> :</w:t>
      </w:r>
      <w:r w:rsidR="007907AB" w:rsidRPr="00922A86">
        <w:rPr>
          <w:szCs w:val="24"/>
        </w:rPr>
        <w:t> </w:t>
      </w:r>
      <w:r w:rsidRPr="00922A86">
        <w:rPr>
          <w:szCs w:val="24"/>
        </w:rPr>
        <w:t>Université d</w:t>
      </w:r>
      <w:r w:rsidR="00951CA2">
        <w:rPr>
          <w:szCs w:val="24"/>
        </w:rPr>
        <w:t>’</w:t>
      </w:r>
      <w:r w:rsidRPr="00922A86">
        <w:rPr>
          <w:szCs w:val="24"/>
        </w:rPr>
        <w:t>Ottawa, Ottawa.</w:t>
      </w:r>
    </w:p>
    <w:p w:rsidR="00B77AA4" w:rsidRDefault="00CA1869" w:rsidP="00B77AA4">
      <w:pPr>
        <w:pStyle w:val="SCCLawFirm"/>
        <w:rPr>
          <w:szCs w:val="24"/>
        </w:rPr>
      </w:pPr>
      <w:r w:rsidRPr="00922A86">
        <w:rPr>
          <w:szCs w:val="24"/>
        </w:rPr>
        <w:tab/>
        <w:t>Procureurs de l</w:t>
      </w:r>
      <w:r w:rsidR="00951CA2">
        <w:rPr>
          <w:szCs w:val="24"/>
        </w:rPr>
        <w:t>’</w:t>
      </w:r>
      <w:r w:rsidRPr="00922A86">
        <w:rPr>
          <w:szCs w:val="24"/>
        </w:rPr>
        <w:t xml:space="preserve">intervenante </w:t>
      </w:r>
      <w:proofErr w:type="spellStart"/>
      <w:r w:rsidRPr="00922A86">
        <w:rPr>
          <w:szCs w:val="24"/>
        </w:rPr>
        <w:t>Cineplex</w:t>
      </w:r>
      <w:proofErr w:type="spellEnd"/>
      <w:r w:rsidRPr="00922A86">
        <w:rPr>
          <w:szCs w:val="24"/>
        </w:rPr>
        <w:t xml:space="preserve"> </w:t>
      </w:r>
      <w:r w:rsidR="002D013B" w:rsidRPr="00922A86">
        <w:rPr>
          <w:szCs w:val="24"/>
        </w:rPr>
        <w:t>Divertisse</w:t>
      </w:r>
      <w:r w:rsidRPr="00922A86">
        <w:rPr>
          <w:szCs w:val="24"/>
        </w:rPr>
        <w:t>ment LP</w:t>
      </w:r>
      <w:r w:rsidR="0010710D" w:rsidRPr="00922A86">
        <w:rPr>
          <w:szCs w:val="24"/>
        </w:rPr>
        <w:t> :</w:t>
      </w:r>
      <w:r w:rsidR="007907AB" w:rsidRPr="00922A86">
        <w:rPr>
          <w:szCs w:val="24"/>
        </w:rPr>
        <w:t> </w:t>
      </w:r>
      <w:proofErr w:type="spellStart"/>
      <w:r w:rsidRPr="00922A86">
        <w:rPr>
          <w:szCs w:val="24"/>
        </w:rPr>
        <w:t>Gilbert</w:t>
      </w:r>
      <w:r w:rsidR="00951CA2">
        <w:rPr>
          <w:szCs w:val="24"/>
        </w:rPr>
        <w:t>’</w:t>
      </w:r>
      <w:r w:rsidRPr="00922A86">
        <w:rPr>
          <w:szCs w:val="24"/>
        </w:rPr>
        <w:t>s</w:t>
      </w:r>
      <w:proofErr w:type="spellEnd"/>
      <w:r w:rsidRPr="00922A86">
        <w:rPr>
          <w:szCs w:val="24"/>
        </w:rPr>
        <w:t>, Toronto.</w:t>
      </w:r>
    </w:p>
    <w:p w:rsidR="00B77AA4" w:rsidRDefault="00B77AA4" w:rsidP="00B77AA4">
      <w:pPr>
        <w:pStyle w:val="SCCLawFirm"/>
        <w:rPr>
          <w:szCs w:val="24"/>
        </w:rPr>
      </w:pPr>
    </w:p>
    <w:p w:rsidR="0043088E" w:rsidRPr="00EF56E4" w:rsidRDefault="00B77AA4" w:rsidP="00B77AA4">
      <w:pPr>
        <w:pStyle w:val="SCCLawFirm"/>
        <w:rPr>
          <w:szCs w:val="24"/>
        </w:rPr>
      </w:pPr>
      <w:r w:rsidRPr="00EF56E4">
        <w:rPr>
          <w:szCs w:val="24"/>
        </w:rPr>
        <w:t xml:space="preserve"> </w:t>
      </w:r>
    </w:p>
    <w:sectPr w:rsidR="0043088E" w:rsidRPr="00EF56E4" w:rsidSect="00B14156">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74" w:rsidRDefault="002D6374">
      <w:r>
        <w:separator/>
      </w:r>
    </w:p>
  </w:endnote>
  <w:endnote w:type="continuationSeparator" w:id="0">
    <w:p w:rsidR="002D6374" w:rsidRDefault="002D6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Rmn 12pt">
    <w:altName w:val="Times New Roman"/>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74" w:rsidRDefault="002D637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74" w:rsidRDefault="002D637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74" w:rsidRDefault="002D6374">
      <w:r>
        <w:separator/>
      </w:r>
    </w:p>
  </w:footnote>
  <w:footnote w:type="continuationSeparator" w:id="0">
    <w:p w:rsidR="002D6374" w:rsidRDefault="002D6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74" w:rsidRDefault="002D637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8356"/>
      <w:docPartObj>
        <w:docPartGallery w:val="Page Numbers (Top of Page)"/>
        <w:docPartUnique/>
      </w:docPartObj>
    </w:sdtPr>
    <w:sdtContent>
      <w:p w:rsidR="002D6374" w:rsidRDefault="002D6374">
        <w:pPr>
          <w:pStyle w:val="Header"/>
          <w:jc w:val="center"/>
        </w:pPr>
        <w:r>
          <w:t xml:space="preserve">- </w:t>
        </w:r>
        <w:fldSimple w:instr=" PAGE   \* MERGEFORMAT ">
          <w:r w:rsidR="005A65A1">
            <w:rPr>
              <w:noProof/>
            </w:rPr>
            <w:t>2</w:t>
          </w:r>
        </w:fldSimple>
        <w:r>
          <w:t xml:space="preserve"> -</w:t>
        </w:r>
      </w:p>
    </w:sdtContent>
  </w:sdt>
  <w:p w:rsidR="002D6374" w:rsidRDefault="002D6374"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0787FCC"/>
    <w:multiLevelType w:val="hybridMultilevel"/>
    <w:tmpl w:val="CB02AC3A"/>
    <w:lvl w:ilvl="0" w:tplc="B2BE9BAE">
      <w:start w:val="2"/>
      <w:numFmt w:val="lowerLetter"/>
      <w:lvlText w:val="%1)"/>
      <w:lvlJc w:val="left"/>
      <w:pPr>
        <w:ind w:left="720" w:hanging="360"/>
      </w:pPr>
      <w:rPr>
        <w:rFonts w:hint="default"/>
        <w:b w:val="0"/>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886770"/>
    <w:multiLevelType w:val="multilevel"/>
    <w:tmpl w:val="010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CD4B44"/>
    <w:multiLevelType w:val="hybridMultilevel"/>
    <w:tmpl w:val="459823AA"/>
    <w:lvl w:ilvl="0" w:tplc="59F0D232">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3176A2"/>
    <w:multiLevelType w:val="multilevel"/>
    <w:tmpl w:val="D95C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10B3C"/>
    <w:multiLevelType w:val="multilevel"/>
    <w:tmpl w:val="7ACC5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1535B"/>
    <w:multiLevelType w:val="multilevel"/>
    <w:tmpl w:val="2EEED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6596866"/>
    <w:multiLevelType w:val="hybridMultilevel"/>
    <w:tmpl w:val="A36A82E4"/>
    <w:lvl w:ilvl="0" w:tplc="60C4BB92">
      <w:start w:val="1"/>
      <w:numFmt w:val="lowerLetter"/>
      <w:lvlText w:val="(%1)"/>
      <w:lvlJc w:val="lef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3">
    <w:nsid w:val="56C51760"/>
    <w:multiLevelType w:val="hybridMultilevel"/>
    <w:tmpl w:val="7F509F9C"/>
    <w:lvl w:ilvl="0" w:tplc="482072F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8E04BDA"/>
    <w:multiLevelType w:val="multilevel"/>
    <w:tmpl w:val="3CEA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C4C36"/>
    <w:multiLevelType w:val="multilevel"/>
    <w:tmpl w:val="E97C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6E7FCE"/>
    <w:multiLevelType w:val="hybridMultilevel"/>
    <w:tmpl w:val="1376DC0E"/>
    <w:lvl w:ilvl="0" w:tplc="E9CCDD12">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AFB50E4"/>
    <w:multiLevelType w:val="multilevel"/>
    <w:tmpl w:val="F2CE5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4"/>
  </w:num>
  <w:num w:numId="4">
    <w:abstractNumId w:val="10"/>
  </w:num>
  <w:num w:numId="5">
    <w:abstractNumId w:val="19"/>
  </w:num>
  <w:num w:numId="6">
    <w:abstractNumId w:val="20"/>
  </w:num>
  <w:num w:numId="7">
    <w:abstractNumId w:val="22"/>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7"/>
  </w:num>
  <w:num w:numId="21">
    <w:abstractNumId w:val="23"/>
  </w:num>
  <w:num w:numId="22">
    <w:abstractNumId w:val="13"/>
  </w:num>
  <w:num w:numId="23">
    <w:abstractNumId w:val="25"/>
  </w:num>
  <w:num w:numId="24">
    <w:abstractNumId w:val="17"/>
  </w:num>
  <w:num w:numId="25">
    <w:abstractNumId w:val="15"/>
  </w:num>
  <w:num w:numId="26">
    <w:abstractNumId w:val="24"/>
  </w:num>
  <w:num w:numId="27">
    <w:abstractNumId w:val="16"/>
  </w:num>
  <w:num w:numId="28">
    <w:abstractNumId w:val="12"/>
  </w:num>
  <w:num w:numId="29">
    <w:abstractNumId w:val="21"/>
    <w:lvlOverride w:ilvl="0">
      <w:startOverride w:val="1"/>
    </w:lvlOverride>
    <w:lvlOverride w:ilvl="1">
      <w:startOverride w:val="1"/>
    </w:lvlOverride>
    <w:lvlOverride w:ilvl="2">
      <w:startOverride w:val="2"/>
    </w:lvlOverride>
  </w:num>
  <w:num w:numId="30">
    <w:abstractNumId w:val="11"/>
  </w:num>
  <w:num w:numId="31">
    <w:abstractNumId w:val="21"/>
    <w:lvlOverride w:ilvl="0">
      <w:startOverride w:val="1"/>
    </w:lvlOverride>
    <w:lvlOverride w:ilvl="1">
      <w:startOverride w:val="1"/>
    </w:lvlOverride>
    <w:lvlOverride w:ilvl="2">
      <w:startOverride w:val="2"/>
    </w:lvlOverride>
  </w:num>
  <w:num w:numId="32">
    <w:abstractNumId w:val="21"/>
    <w:lvlOverride w:ilvl="0">
      <w:startOverride w:val="1"/>
    </w:lvlOverride>
    <w:lvlOverride w:ilvl="1">
      <w:startOverride w:val="1"/>
    </w:lvlOverride>
    <w:lvlOverride w:ilvl="2">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23534"/>
    <w:rsid w:val="00025198"/>
    <w:rsid w:val="00027CE1"/>
    <w:rsid w:val="00030166"/>
    <w:rsid w:val="00031157"/>
    <w:rsid w:val="00034332"/>
    <w:rsid w:val="000410FB"/>
    <w:rsid w:val="00051B3F"/>
    <w:rsid w:val="00055A36"/>
    <w:rsid w:val="000578A3"/>
    <w:rsid w:val="00060D1F"/>
    <w:rsid w:val="00061A95"/>
    <w:rsid w:val="00064563"/>
    <w:rsid w:val="000648CC"/>
    <w:rsid w:val="00066802"/>
    <w:rsid w:val="00070297"/>
    <w:rsid w:val="00082469"/>
    <w:rsid w:val="00090C7D"/>
    <w:rsid w:val="00093159"/>
    <w:rsid w:val="00094DE0"/>
    <w:rsid w:val="000A5321"/>
    <w:rsid w:val="000B6FF3"/>
    <w:rsid w:val="000C59B8"/>
    <w:rsid w:val="000F1242"/>
    <w:rsid w:val="000F1E09"/>
    <w:rsid w:val="000F5786"/>
    <w:rsid w:val="000F65BE"/>
    <w:rsid w:val="0010710D"/>
    <w:rsid w:val="00111DE2"/>
    <w:rsid w:val="00116B38"/>
    <w:rsid w:val="00120342"/>
    <w:rsid w:val="0013109F"/>
    <w:rsid w:val="00135406"/>
    <w:rsid w:val="00135972"/>
    <w:rsid w:val="00140667"/>
    <w:rsid w:val="00140C39"/>
    <w:rsid w:val="001426A9"/>
    <w:rsid w:val="0014408D"/>
    <w:rsid w:val="00146AC0"/>
    <w:rsid w:val="00146EAD"/>
    <w:rsid w:val="00154D7C"/>
    <w:rsid w:val="001570B0"/>
    <w:rsid w:val="001726C0"/>
    <w:rsid w:val="00172A04"/>
    <w:rsid w:val="00172EA6"/>
    <w:rsid w:val="00175A97"/>
    <w:rsid w:val="00184A8C"/>
    <w:rsid w:val="00185394"/>
    <w:rsid w:val="00185708"/>
    <w:rsid w:val="001A451D"/>
    <w:rsid w:val="001A4EFE"/>
    <w:rsid w:val="001B33E0"/>
    <w:rsid w:val="001B4573"/>
    <w:rsid w:val="001C779F"/>
    <w:rsid w:val="001D1EEB"/>
    <w:rsid w:val="001D2AC1"/>
    <w:rsid w:val="001E2337"/>
    <w:rsid w:val="001E3042"/>
    <w:rsid w:val="001F7673"/>
    <w:rsid w:val="002060DA"/>
    <w:rsid w:val="00214EEF"/>
    <w:rsid w:val="0022062B"/>
    <w:rsid w:val="00220E17"/>
    <w:rsid w:val="00220FC2"/>
    <w:rsid w:val="00224FC0"/>
    <w:rsid w:val="00225EA4"/>
    <w:rsid w:val="00226EAF"/>
    <w:rsid w:val="00226F77"/>
    <w:rsid w:val="002301E7"/>
    <w:rsid w:val="00231F3A"/>
    <w:rsid w:val="00233314"/>
    <w:rsid w:val="002401F7"/>
    <w:rsid w:val="002406EE"/>
    <w:rsid w:val="00242329"/>
    <w:rsid w:val="002710C4"/>
    <w:rsid w:val="002734A9"/>
    <w:rsid w:val="002745CC"/>
    <w:rsid w:val="002857BC"/>
    <w:rsid w:val="00295CE7"/>
    <w:rsid w:val="002A1D07"/>
    <w:rsid w:val="002B23CE"/>
    <w:rsid w:val="002D013B"/>
    <w:rsid w:val="002D39A4"/>
    <w:rsid w:val="002D4433"/>
    <w:rsid w:val="002D6374"/>
    <w:rsid w:val="002D77EB"/>
    <w:rsid w:val="002E159A"/>
    <w:rsid w:val="002E28B0"/>
    <w:rsid w:val="002E6705"/>
    <w:rsid w:val="002F2A42"/>
    <w:rsid w:val="002F38C1"/>
    <w:rsid w:val="002F3A3E"/>
    <w:rsid w:val="002F696C"/>
    <w:rsid w:val="0030329A"/>
    <w:rsid w:val="0030390A"/>
    <w:rsid w:val="00303D60"/>
    <w:rsid w:val="00307AFD"/>
    <w:rsid w:val="0031086F"/>
    <w:rsid w:val="00310E05"/>
    <w:rsid w:val="0031414C"/>
    <w:rsid w:val="00314E01"/>
    <w:rsid w:val="00317B88"/>
    <w:rsid w:val="0032089D"/>
    <w:rsid w:val="00323849"/>
    <w:rsid w:val="0033393C"/>
    <w:rsid w:val="00334EF8"/>
    <w:rsid w:val="0034770C"/>
    <w:rsid w:val="0035259D"/>
    <w:rsid w:val="00353AEC"/>
    <w:rsid w:val="003551A5"/>
    <w:rsid w:val="003651ED"/>
    <w:rsid w:val="00371708"/>
    <w:rsid w:val="00376D30"/>
    <w:rsid w:val="00381031"/>
    <w:rsid w:val="003866EC"/>
    <w:rsid w:val="00391E76"/>
    <w:rsid w:val="00394476"/>
    <w:rsid w:val="003A24AB"/>
    <w:rsid w:val="003A4C70"/>
    <w:rsid w:val="003A4E15"/>
    <w:rsid w:val="003A785D"/>
    <w:rsid w:val="003B022F"/>
    <w:rsid w:val="003B1184"/>
    <w:rsid w:val="003B7906"/>
    <w:rsid w:val="003B7FB9"/>
    <w:rsid w:val="003C5390"/>
    <w:rsid w:val="003C6D60"/>
    <w:rsid w:val="003C799C"/>
    <w:rsid w:val="003E0F37"/>
    <w:rsid w:val="003E1C71"/>
    <w:rsid w:val="003E22BD"/>
    <w:rsid w:val="003E72C7"/>
    <w:rsid w:val="003F327B"/>
    <w:rsid w:val="0040229F"/>
    <w:rsid w:val="00404FB0"/>
    <w:rsid w:val="004059A7"/>
    <w:rsid w:val="00406166"/>
    <w:rsid w:val="00411300"/>
    <w:rsid w:val="0041249E"/>
    <w:rsid w:val="004145F7"/>
    <w:rsid w:val="00417BE1"/>
    <w:rsid w:val="004243DA"/>
    <w:rsid w:val="004259E5"/>
    <w:rsid w:val="00426659"/>
    <w:rsid w:val="00426BB8"/>
    <w:rsid w:val="0043088E"/>
    <w:rsid w:val="00437831"/>
    <w:rsid w:val="004439D8"/>
    <w:rsid w:val="0044411B"/>
    <w:rsid w:val="00450EC8"/>
    <w:rsid w:val="00453792"/>
    <w:rsid w:val="00465132"/>
    <w:rsid w:val="00474777"/>
    <w:rsid w:val="00480C90"/>
    <w:rsid w:val="0048396F"/>
    <w:rsid w:val="004861D6"/>
    <w:rsid w:val="00493C18"/>
    <w:rsid w:val="00494CDC"/>
    <w:rsid w:val="004A600C"/>
    <w:rsid w:val="004C478D"/>
    <w:rsid w:val="004D62D1"/>
    <w:rsid w:val="004E6A2C"/>
    <w:rsid w:val="00500C7D"/>
    <w:rsid w:val="00506106"/>
    <w:rsid w:val="0050739F"/>
    <w:rsid w:val="005127ED"/>
    <w:rsid w:val="00514A18"/>
    <w:rsid w:val="00521AE8"/>
    <w:rsid w:val="005264FB"/>
    <w:rsid w:val="00527180"/>
    <w:rsid w:val="00536719"/>
    <w:rsid w:val="0054581D"/>
    <w:rsid w:val="005564A7"/>
    <w:rsid w:val="00571C11"/>
    <w:rsid w:val="00583E4D"/>
    <w:rsid w:val="00586518"/>
    <w:rsid w:val="005A08DE"/>
    <w:rsid w:val="005A285A"/>
    <w:rsid w:val="005A5A12"/>
    <w:rsid w:val="005A65A1"/>
    <w:rsid w:val="005A7519"/>
    <w:rsid w:val="005B1DAC"/>
    <w:rsid w:val="005B1E27"/>
    <w:rsid w:val="005C4DB5"/>
    <w:rsid w:val="005C60A0"/>
    <w:rsid w:val="005C6C0D"/>
    <w:rsid w:val="005D0952"/>
    <w:rsid w:val="005E4698"/>
    <w:rsid w:val="005E79B6"/>
    <w:rsid w:val="0060440B"/>
    <w:rsid w:val="0062152E"/>
    <w:rsid w:val="00625C35"/>
    <w:rsid w:val="00625E50"/>
    <w:rsid w:val="00634E1B"/>
    <w:rsid w:val="00644E38"/>
    <w:rsid w:val="00645057"/>
    <w:rsid w:val="00652782"/>
    <w:rsid w:val="00654858"/>
    <w:rsid w:val="006565F4"/>
    <w:rsid w:val="00677935"/>
    <w:rsid w:val="00681AD1"/>
    <w:rsid w:val="00690CB6"/>
    <w:rsid w:val="0069326D"/>
    <w:rsid w:val="00696177"/>
    <w:rsid w:val="006A4280"/>
    <w:rsid w:val="006A56F1"/>
    <w:rsid w:val="006B2C2D"/>
    <w:rsid w:val="006B58D3"/>
    <w:rsid w:val="006B5FF5"/>
    <w:rsid w:val="006C3AC3"/>
    <w:rsid w:val="006C5661"/>
    <w:rsid w:val="006D4790"/>
    <w:rsid w:val="006D726C"/>
    <w:rsid w:val="006E6C8B"/>
    <w:rsid w:val="006F1012"/>
    <w:rsid w:val="006F5D1D"/>
    <w:rsid w:val="00701759"/>
    <w:rsid w:val="00702C6F"/>
    <w:rsid w:val="00704ABF"/>
    <w:rsid w:val="00722B81"/>
    <w:rsid w:val="0074353C"/>
    <w:rsid w:val="00747288"/>
    <w:rsid w:val="00747DD3"/>
    <w:rsid w:val="00752F4E"/>
    <w:rsid w:val="007549C8"/>
    <w:rsid w:val="007603A3"/>
    <w:rsid w:val="00760915"/>
    <w:rsid w:val="007615C1"/>
    <w:rsid w:val="00762123"/>
    <w:rsid w:val="00762D30"/>
    <w:rsid w:val="00763377"/>
    <w:rsid w:val="00766D14"/>
    <w:rsid w:val="00767A0F"/>
    <w:rsid w:val="007834A8"/>
    <w:rsid w:val="007907AB"/>
    <w:rsid w:val="007A05F6"/>
    <w:rsid w:val="007B458D"/>
    <w:rsid w:val="007B6F4A"/>
    <w:rsid w:val="007C33DA"/>
    <w:rsid w:val="007E1C47"/>
    <w:rsid w:val="007E337A"/>
    <w:rsid w:val="007E5C70"/>
    <w:rsid w:val="007F2FF5"/>
    <w:rsid w:val="007F69D1"/>
    <w:rsid w:val="007F6BA0"/>
    <w:rsid w:val="008031EC"/>
    <w:rsid w:val="008111F1"/>
    <w:rsid w:val="008115C1"/>
    <w:rsid w:val="00817190"/>
    <w:rsid w:val="008176AD"/>
    <w:rsid w:val="008206E7"/>
    <w:rsid w:val="008216C0"/>
    <w:rsid w:val="00825510"/>
    <w:rsid w:val="008322BD"/>
    <w:rsid w:val="00834A03"/>
    <w:rsid w:val="00842C2C"/>
    <w:rsid w:val="008454A1"/>
    <w:rsid w:val="00845BD0"/>
    <w:rsid w:val="00855307"/>
    <w:rsid w:val="00860958"/>
    <w:rsid w:val="00862CF3"/>
    <w:rsid w:val="008631ED"/>
    <w:rsid w:val="00864076"/>
    <w:rsid w:val="00864609"/>
    <w:rsid w:val="00864CF8"/>
    <w:rsid w:val="00874914"/>
    <w:rsid w:val="00880D0F"/>
    <w:rsid w:val="00883F7B"/>
    <w:rsid w:val="008907B4"/>
    <w:rsid w:val="00892E1A"/>
    <w:rsid w:val="008958F5"/>
    <w:rsid w:val="008A6558"/>
    <w:rsid w:val="008A727C"/>
    <w:rsid w:val="008C01DA"/>
    <w:rsid w:val="008C39BC"/>
    <w:rsid w:val="008F16D9"/>
    <w:rsid w:val="008F57C8"/>
    <w:rsid w:val="008F78E9"/>
    <w:rsid w:val="00902462"/>
    <w:rsid w:val="00907C39"/>
    <w:rsid w:val="00915DC1"/>
    <w:rsid w:val="00922A86"/>
    <w:rsid w:val="009238AB"/>
    <w:rsid w:val="00927AFB"/>
    <w:rsid w:val="009403F3"/>
    <w:rsid w:val="00951CA2"/>
    <w:rsid w:val="00957FA2"/>
    <w:rsid w:val="00966913"/>
    <w:rsid w:val="00967374"/>
    <w:rsid w:val="0097543E"/>
    <w:rsid w:val="00983F3F"/>
    <w:rsid w:val="00985C69"/>
    <w:rsid w:val="0099079B"/>
    <w:rsid w:val="00995310"/>
    <w:rsid w:val="009967CB"/>
    <w:rsid w:val="009B2F23"/>
    <w:rsid w:val="009B53E2"/>
    <w:rsid w:val="009B57B3"/>
    <w:rsid w:val="009C0E61"/>
    <w:rsid w:val="009C7DD2"/>
    <w:rsid w:val="009D1BBA"/>
    <w:rsid w:val="009D57DC"/>
    <w:rsid w:val="009D5AEB"/>
    <w:rsid w:val="009E05F6"/>
    <w:rsid w:val="009F383F"/>
    <w:rsid w:val="00A05F0E"/>
    <w:rsid w:val="00A2029C"/>
    <w:rsid w:val="00A21107"/>
    <w:rsid w:val="00A21B90"/>
    <w:rsid w:val="00A24546"/>
    <w:rsid w:val="00A24E15"/>
    <w:rsid w:val="00A2695F"/>
    <w:rsid w:val="00A4109D"/>
    <w:rsid w:val="00A44FD5"/>
    <w:rsid w:val="00A451C4"/>
    <w:rsid w:val="00A548CB"/>
    <w:rsid w:val="00A55182"/>
    <w:rsid w:val="00A5563B"/>
    <w:rsid w:val="00A6242E"/>
    <w:rsid w:val="00A643E7"/>
    <w:rsid w:val="00A65FC4"/>
    <w:rsid w:val="00A73C38"/>
    <w:rsid w:val="00A76E2A"/>
    <w:rsid w:val="00A81A24"/>
    <w:rsid w:val="00A86D91"/>
    <w:rsid w:val="00A90CA5"/>
    <w:rsid w:val="00A91610"/>
    <w:rsid w:val="00A9634E"/>
    <w:rsid w:val="00A969BB"/>
    <w:rsid w:val="00AA5046"/>
    <w:rsid w:val="00AB38E6"/>
    <w:rsid w:val="00AB3D3D"/>
    <w:rsid w:val="00AB4016"/>
    <w:rsid w:val="00AB6C2F"/>
    <w:rsid w:val="00AC5AB6"/>
    <w:rsid w:val="00AC6322"/>
    <w:rsid w:val="00AC7437"/>
    <w:rsid w:val="00AC7A44"/>
    <w:rsid w:val="00AD1304"/>
    <w:rsid w:val="00AE44EF"/>
    <w:rsid w:val="00AE6385"/>
    <w:rsid w:val="00AF03C5"/>
    <w:rsid w:val="00B000D8"/>
    <w:rsid w:val="00B00F75"/>
    <w:rsid w:val="00B14156"/>
    <w:rsid w:val="00B145B6"/>
    <w:rsid w:val="00B15909"/>
    <w:rsid w:val="00B30917"/>
    <w:rsid w:val="00B31718"/>
    <w:rsid w:val="00B338CC"/>
    <w:rsid w:val="00B45651"/>
    <w:rsid w:val="00B50C81"/>
    <w:rsid w:val="00B53F4D"/>
    <w:rsid w:val="00B55790"/>
    <w:rsid w:val="00B557F8"/>
    <w:rsid w:val="00B64972"/>
    <w:rsid w:val="00B64E6C"/>
    <w:rsid w:val="00B66CF9"/>
    <w:rsid w:val="00B66DD8"/>
    <w:rsid w:val="00B77AA4"/>
    <w:rsid w:val="00B8061A"/>
    <w:rsid w:val="00B8145D"/>
    <w:rsid w:val="00B815FC"/>
    <w:rsid w:val="00B93FBC"/>
    <w:rsid w:val="00BA2734"/>
    <w:rsid w:val="00BA71C2"/>
    <w:rsid w:val="00BB5A0C"/>
    <w:rsid w:val="00BC512E"/>
    <w:rsid w:val="00BD4E3D"/>
    <w:rsid w:val="00BF3BE1"/>
    <w:rsid w:val="00C01A9A"/>
    <w:rsid w:val="00C02092"/>
    <w:rsid w:val="00C057F7"/>
    <w:rsid w:val="00C0663B"/>
    <w:rsid w:val="00C0715B"/>
    <w:rsid w:val="00C12204"/>
    <w:rsid w:val="00C140A2"/>
    <w:rsid w:val="00C15FAF"/>
    <w:rsid w:val="00C1600E"/>
    <w:rsid w:val="00C24C8C"/>
    <w:rsid w:val="00C24D91"/>
    <w:rsid w:val="00C27AD0"/>
    <w:rsid w:val="00C30C71"/>
    <w:rsid w:val="00C52532"/>
    <w:rsid w:val="00C53F14"/>
    <w:rsid w:val="00C54E3F"/>
    <w:rsid w:val="00C55C2E"/>
    <w:rsid w:val="00C600CF"/>
    <w:rsid w:val="00C6084F"/>
    <w:rsid w:val="00C6266E"/>
    <w:rsid w:val="00C62A66"/>
    <w:rsid w:val="00C62A6F"/>
    <w:rsid w:val="00C67CA5"/>
    <w:rsid w:val="00C71458"/>
    <w:rsid w:val="00C71F58"/>
    <w:rsid w:val="00C73DDD"/>
    <w:rsid w:val="00C77613"/>
    <w:rsid w:val="00C828E7"/>
    <w:rsid w:val="00C835A5"/>
    <w:rsid w:val="00C83EF7"/>
    <w:rsid w:val="00C84697"/>
    <w:rsid w:val="00C87095"/>
    <w:rsid w:val="00C91395"/>
    <w:rsid w:val="00C921DD"/>
    <w:rsid w:val="00C92744"/>
    <w:rsid w:val="00CA1869"/>
    <w:rsid w:val="00CA2DE7"/>
    <w:rsid w:val="00CA4D82"/>
    <w:rsid w:val="00CA6391"/>
    <w:rsid w:val="00CB40A6"/>
    <w:rsid w:val="00CB4624"/>
    <w:rsid w:val="00CB55FF"/>
    <w:rsid w:val="00CB6815"/>
    <w:rsid w:val="00CD7352"/>
    <w:rsid w:val="00CE3171"/>
    <w:rsid w:val="00CF1601"/>
    <w:rsid w:val="00CF258E"/>
    <w:rsid w:val="00CF2645"/>
    <w:rsid w:val="00CF3BB3"/>
    <w:rsid w:val="00CF4791"/>
    <w:rsid w:val="00CF7B76"/>
    <w:rsid w:val="00D01D6D"/>
    <w:rsid w:val="00D32086"/>
    <w:rsid w:val="00D37A3F"/>
    <w:rsid w:val="00D37B90"/>
    <w:rsid w:val="00D45FCF"/>
    <w:rsid w:val="00D4667A"/>
    <w:rsid w:val="00D510BB"/>
    <w:rsid w:val="00D5435D"/>
    <w:rsid w:val="00D57202"/>
    <w:rsid w:val="00D74F2E"/>
    <w:rsid w:val="00D80162"/>
    <w:rsid w:val="00DA0590"/>
    <w:rsid w:val="00DC004F"/>
    <w:rsid w:val="00DC042D"/>
    <w:rsid w:val="00DC1788"/>
    <w:rsid w:val="00DC333C"/>
    <w:rsid w:val="00DC3F6F"/>
    <w:rsid w:val="00DD2976"/>
    <w:rsid w:val="00DD492E"/>
    <w:rsid w:val="00DE034F"/>
    <w:rsid w:val="00DE71A4"/>
    <w:rsid w:val="00DF0CA8"/>
    <w:rsid w:val="00DF49A7"/>
    <w:rsid w:val="00DF5BEF"/>
    <w:rsid w:val="00E01106"/>
    <w:rsid w:val="00E07EE2"/>
    <w:rsid w:val="00E14F45"/>
    <w:rsid w:val="00E17480"/>
    <w:rsid w:val="00E20135"/>
    <w:rsid w:val="00E23F97"/>
    <w:rsid w:val="00E24573"/>
    <w:rsid w:val="00E377A1"/>
    <w:rsid w:val="00E45109"/>
    <w:rsid w:val="00E467D3"/>
    <w:rsid w:val="00E5385B"/>
    <w:rsid w:val="00E54B02"/>
    <w:rsid w:val="00E55C85"/>
    <w:rsid w:val="00E55DD9"/>
    <w:rsid w:val="00E61CFD"/>
    <w:rsid w:val="00E67A5E"/>
    <w:rsid w:val="00E92106"/>
    <w:rsid w:val="00E97830"/>
    <w:rsid w:val="00EA03E5"/>
    <w:rsid w:val="00EA22AB"/>
    <w:rsid w:val="00EA4C66"/>
    <w:rsid w:val="00EB6B8F"/>
    <w:rsid w:val="00EC40C8"/>
    <w:rsid w:val="00EE0FAF"/>
    <w:rsid w:val="00EF56E4"/>
    <w:rsid w:val="00EF5A32"/>
    <w:rsid w:val="00F00EB7"/>
    <w:rsid w:val="00F17D43"/>
    <w:rsid w:val="00F2258E"/>
    <w:rsid w:val="00F33658"/>
    <w:rsid w:val="00F36AB6"/>
    <w:rsid w:val="00F409CE"/>
    <w:rsid w:val="00F5788C"/>
    <w:rsid w:val="00F6074A"/>
    <w:rsid w:val="00F65E4E"/>
    <w:rsid w:val="00F82F77"/>
    <w:rsid w:val="00F83621"/>
    <w:rsid w:val="00F84DF4"/>
    <w:rsid w:val="00F853FB"/>
    <w:rsid w:val="00F85C97"/>
    <w:rsid w:val="00FA2FE1"/>
    <w:rsid w:val="00FA4F22"/>
    <w:rsid w:val="00FB62E1"/>
    <w:rsid w:val="00FC606D"/>
    <w:rsid w:val="00FC7021"/>
    <w:rsid w:val="00FD068D"/>
    <w:rsid w:val="00FD29AB"/>
    <w:rsid w:val="00FD308C"/>
    <w:rsid w:val="00FD4F28"/>
    <w:rsid w:val="00FD60F6"/>
    <w:rsid w:val="00FE35C1"/>
    <w:rsid w:val="00FE4B4D"/>
    <w:rsid w:val="00FE6784"/>
    <w:rsid w:val="00FE7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7AA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B77AA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77AA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77AA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77AA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77AA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77AA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99"/>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character" w:styleId="Hyperlink">
    <w:name w:val="Hyperlink"/>
    <w:basedOn w:val="DefaultParagraphFont"/>
    <w:uiPriority w:val="99"/>
    <w:unhideWhenUsed/>
    <w:rsid w:val="004243DA"/>
    <w:rPr>
      <w:color w:val="0000FF" w:themeColor="hyperlink"/>
      <w:u w:val="single"/>
    </w:rPr>
  </w:style>
  <w:style w:type="character" w:customStyle="1" w:styleId="ssens">
    <w:name w:val="ssens"/>
    <w:basedOn w:val="DefaultParagraphFont"/>
    <w:uiPriority w:val="99"/>
    <w:rsid w:val="005C60A0"/>
  </w:style>
  <w:style w:type="paragraph" w:customStyle="1" w:styleId="ParaNoNdepar-AltN">
    <w:name w:val="Para. No. / Nº de par. - Alt N"/>
    <w:uiPriority w:val="99"/>
    <w:qFormat/>
    <w:rsid w:val="00CB40A6"/>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B77AA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77AA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77AA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77AA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77AA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77AA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77AA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77AA4"/>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B77AA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77AA4"/>
    <w:rPr>
      <w:b/>
      <w:sz w:val="24"/>
      <w:lang w:val="fr-CA"/>
    </w:rPr>
  </w:style>
  <w:style w:type="table" w:styleId="TableGrid">
    <w:name w:val="Table Grid"/>
    <w:basedOn w:val="TableNormal"/>
    <w:uiPriority w:val="59"/>
    <w:rsid w:val="00B77A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99"/>
    <w:qFormat/>
    <w:rsid w:val="00B77AA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77AA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77AA4"/>
    <w:pPr>
      <w:tabs>
        <w:tab w:val="left" w:pos="1260"/>
      </w:tabs>
      <w:spacing w:after="480" w:line="480" w:lineRule="auto"/>
    </w:pPr>
    <w:rPr>
      <w:smallCaps/>
      <w:sz w:val="24"/>
    </w:rPr>
  </w:style>
  <w:style w:type="paragraph" w:customStyle="1" w:styleId="TitleTitre-AltT">
    <w:name w:val="Title / Titre - Alt T"/>
    <w:next w:val="ParaNoNdepar-AltN"/>
    <w:uiPriority w:val="99"/>
    <w:qFormat/>
    <w:rsid w:val="00B77AA4"/>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qFormat/>
    <w:rsid w:val="00B77AA4"/>
    <w:pPr>
      <w:ind w:left="720"/>
      <w:contextualSpacing/>
    </w:pPr>
    <w:rPr>
      <w:rFonts w:eastAsiaTheme="minorHAnsi" w:cstheme="minorBidi"/>
      <w:szCs w:val="22"/>
      <w:lang w:val="en-US" w:eastAsia="en-US" w:bidi="en-US"/>
    </w:rPr>
  </w:style>
  <w:style w:type="paragraph" w:styleId="NoSpacing">
    <w:name w:val="No Spacing"/>
    <w:uiPriority w:val="1"/>
    <w:qFormat/>
    <w:rsid w:val="00B77AA4"/>
    <w:rPr>
      <w:rFonts w:eastAsiaTheme="minorHAnsi" w:cstheme="minorBidi"/>
      <w:sz w:val="24"/>
      <w:szCs w:val="22"/>
      <w:lang w:val="en-US" w:eastAsia="en-US" w:bidi="en-US"/>
    </w:rPr>
  </w:style>
  <w:style w:type="character" w:styleId="CommentReference">
    <w:name w:val="annotation reference"/>
    <w:basedOn w:val="DefaultParagraphFont"/>
    <w:uiPriority w:val="99"/>
    <w:semiHidden/>
    <w:unhideWhenUsed/>
    <w:rsid w:val="00B77AA4"/>
    <w:rPr>
      <w:sz w:val="16"/>
      <w:szCs w:val="16"/>
    </w:rPr>
  </w:style>
  <w:style w:type="paragraph" w:styleId="CommentText">
    <w:name w:val="annotation text"/>
    <w:basedOn w:val="Normal"/>
    <w:link w:val="CommentTextChar"/>
    <w:uiPriority w:val="99"/>
    <w:semiHidden/>
    <w:unhideWhenUsed/>
    <w:rsid w:val="00B77AA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B77AA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77AA4"/>
    <w:rPr>
      <w:b/>
      <w:bCs/>
    </w:rPr>
  </w:style>
  <w:style w:type="character" w:customStyle="1" w:styleId="CommentSubjectChar">
    <w:name w:val="Comment Subject Char"/>
    <w:basedOn w:val="CommentTextChar"/>
    <w:link w:val="CommentSubject"/>
    <w:uiPriority w:val="99"/>
    <w:semiHidden/>
    <w:rsid w:val="00B77AA4"/>
    <w:rPr>
      <w:b/>
      <w:bCs/>
    </w:rPr>
  </w:style>
  <w:style w:type="paragraph" w:customStyle="1" w:styleId="HeadingTitre-AltH">
    <w:name w:val="Heading / Titre - Alt H"/>
    <w:next w:val="Normal"/>
    <w:uiPriority w:val="3"/>
    <w:rsid w:val="00B77AA4"/>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B77AA4"/>
    <w:rPr>
      <w:smallCaps/>
      <w:sz w:val="24"/>
    </w:rPr>
  </w:style>
  <w:style w:type="paragraph" w:styleId="TOCHeading">
    <w:name w:val="TOC Heading"/>
    <w:basedOn w:val="Heading1"/>
    <w:next w:val="Normal"/>
    <w:uiPriority w:val="39"/>
    <w:semiHidden/>
    <w:unhideWhenUsed/>
    <w:qFormat/>
    <w:rsid w:val="00B77AA4"/>
    <w:pPr>
      <w:outlineLvl w:val="9"/>
    </w:pPr>
    <w:rPr>
      <w:lang w:val="en-US" w:eastAsia="en-US" w:bidi="en-US"/>
    </w:rPr>
  </w:style>
  <w:style w:type="paragraph" w:styleId="Caption">
    <w:name w:val="caption"/>
    <w:basedOn w:val="Normal"/>
    <w:next w:val="Normal"/>
    <w:uiPriority w:val="35"/>
    <w:semiHidden/>
    <w:unhideWhenUsed/>
    <w:qFormat/>
    <w:rsid w:val="00B77AA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B77A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77AA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B77AA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77AA4"/>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qFormat/>
    <w:rsid w:val="00B77AA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77AA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B77AA4"/>
    <w:rPr>
      <w:i/>
      <w:iCs/>
      <w:color w:val="808080" w:themeColor="text1" w:themeTint="7F"/>
    </w:rPr>
  </w:style>
  <w:style w:type="character" w:styleId="IntenseEmphasis">
    <w:name w:val="Intense Emphasis"/>
    <w:basedOn w:val="DefaultParagraphFont"/>
    <w:uiPriority w:val="21"/>
    <w:qFormat/>
    <w:rsid w:val="00B77AA4"/>
    <w:rPr>
      <w:b/>
      <w:bCs/>
      <w:i/>
      <w:iCs/>
      <w:color w:val="4F81BD" w:themeColor="accent1"/>
    </w:rPr>
  </w:style>
  <w:style w:type="character" w:styleId="SubtleReference">
    <w:name w:val="Subtle Reference"/>
    <w:basedOn w:val="DefaultParagraphFont"/>
    <w:uiPriority w:val="31"/>
    <w:qFormat/>
    <w:rsid w:val="00B77AA4"/>
    <w:rPr>
      <w:smallCaps/>
      <w:color w:val="C0504D" w:themeColor="accent2"/>
      <w:u w:val="single"/>
    </w:rPr>
  </w:style>
  <w:style w:type="character" w:styleId="IntenseReference">
    <w:name w:val="Intense Reference"/>
    <w:basedOn w:val="DefaultParagraphFont"/>
    <w:uiPriority w:val="32"/>
    <w:qFormat/>
    <w:rsid w:val="00B77AA4"/>
    <w:rPr>
      <w:b/>
      <w:bCs/>
      <w:smallCaps/>
      <w:color w:val="C0504D" w:themeColor="accent2"/>
      <w:spacing w:val="5"/>
      <w:u w:val="single"/>
    </w:rPr>
  </w:style>
  <w:style w:type="character" w:styleId="BookTitle">
    <w:name w:val="Book Title"/>
    <w:basedOn w:val="DefaultParagraphFont"/>
    <w:uiPriority w:val="33"/>
    <w:qFormat/>
    <w:rsid w:val="00B77AA4"/>
    <w:rPr>
      <w:b/>
      <w:bCs/>
      <w:smallCaps/>
      <w:spacing w:val="5"/>
    </w:rPr>
  </w:style>
  <w:style w:type="paragraph" w:styleId="Revision">
    <w:name w:val="Revision"/>
    <w:hidden/>
    <w:uiPriority w:val="99"/>
    <w:semiHidden/>
    <w:rsid w:val="00B77AA4"/>
    <w:rPr>
      <w:rFonts w:eastAsiaTheme="minorHAnsi" w:cstheme="minorBidi"/>
      <w:sz w:val="24"/>
      <w:szCs w:val="22"/>
      <w:lang w:val="en-US" w:eastAsia="en-US" w:bidi="en-US"/>
    </w:rPr>
  </w:style>
  <w:style w:type="paragraph" w:customStyle="1" w:styleId="loose">
    <w:name w:val="loose"/>
    <w:basedOn w:val="Normal"/>
    <w:rsid w:val="00B77AA4"/>
    <w:pPr>
      <w:spacing w:before="161"/>
    </w:pPr>
    <w:rPr>
      <w:szCs w:val="24"/>
      <w:lang w:val="en-CA"/>
    </w:rPr>
  </w:style>
  <w:style w:type="character" w:customStyle="1" w:styleId="bold1">
    <w:name w:val="bold1"/>
    <w:basedOn w:val="DefaultParagraphFont"/>
    <w:rsid w:val="00B77AA4"/>
    <w:rPr>
      <w:b/>
      <w:bCs/>
    </w:rPr>
  </w:style>
  <w:style w:type="paragraph" w:customStyle="1" w:styleId="paragraph">
    <w:name w:val="paragraph"/>
    <w:basedOn w:val="Normal"/>
    <w:rsid w:val="00B77AA4"/>
    <w:pPr>
      <w:spacing w:before="100" w:beforeAutospacing="1" w:after="100" w:afterAutospacing="1"/>
    </w:pPr>
    <w:rPr>
      <w:szCs w:val="24"/>
      <w:lang w:val="en-CA"/>
    </w:rPr>
  </w:style>
  <w:style w:type="paragraph" w:customStyle="1" w:styleId="definition1">
    <w:name w:val="definition1"/>
    <w:basedOn w:val="Normal"/>
    <w:rsid w:val="00B77AA4"/>
    <w:pPr>
      <w:spacing w:before="120" w:after="100" w:afterAutospacing="1"/>
    </w:pPr>
    <w:rPr>
      <w:szCs w:val="24"/>
      <w:lang w:val="en-CA"/>
    </w:rPr>
  </w:style>
  <w:style w:type="character" w:customStyle="1" w:styleId="definedterm">
    <w:name w:val="definedterm"/>
    <w:basedOn w:val="DefaultParagraphFont"/>
    <w:uiPriority w:val="99"/>
    <w:rsid w:val="00B77AA4"/>
  </w:style>
  <w:style w:type="character" w:styleId="HTMLCite">
    <w:name w:val="HTML Cite"/>
    <w:basedOn w:val="DefaultParagraphFont"/>
    <w:uiPriority w:val="99"/>
    <w:semiHidden/>
    <w:unhideWhenUsed/>
    <w:rsid w:val="00B77AA4"/>
    <w:rPr>
      <w:i/>
      <w:iCs/>
    </w:rPr>
  </w:style>
  <w:style w:type="character" w:styleId="Emphasis">
    <w:name w:val="Emphasis"/>
    <w:basedOn w:val="DefaultParagraphFont"/>
    <w:uiPriority w:val="99"/>
    <w:qFormat/>
    <w:rsid w:val="00B77AA4"/>
    <w:rPr>
      <w:i/>
      <w:iCs/>
    </w:rPr>
  </w:style>
  <w:style w:type="character" w:customStyle="1" w:styleId="sectionlabel1">
    <w:name w:val="sectionlabel1"/>
    <w:basedOn w:val="DefaultParagraphFont"/>
    <w:uiPriority w:val="99"/>
    <w:rsid w:val="00B77AA4"/>
    <w:rPr>
      <w:b/>
      <w:bCs/>
    </w:rPr>
  </w:style>
  <w:style w:type="paragraph" w:customStyle="1" w:styleId="subsection">
    <w:name w:val="subsection"/>
    <w:basedOn w:val="Normal"/>
    <w:rsid w:val="00B77AA4"/>
    <w:pPr>
      <w:spacing w:before="100" w:beforeAutospacing="1" w:after="100" w:afterAutospacing="1"/>
    </w:pPr>
    <w:rPr>
      <w:szCs w:val="24"/>
      <w:lang w:val="en-CA"/>
    </w:rPr>
  </w:style>
  <w:style w:type="paragraph" w:customStyle="1" w:styleId="subparagraph">
    <w:name w:val="subparagraph"/>
    <w:basedOn w:val="Normal"/>
    <w:rsid w:val="00B77AA4"/>
    <w:pPr>
      <w:spacing w:before="100" w:beforeAutospacing="1" w:after="100" w:afterAutospacing="1"/>
    </w:pPr>
    <w:rPr>
      <w:szCs w:val="24"/>
      <w:lang w:val="en-CA"/>
    </w:rPr>
  </w:style>
  <w:style w:type="paragraph" w:customStyle="1" w:styleId="continuedparagraph">
    <w:name w:val="continuedparagraph"/>
    <w:basedOn w:val="Normal"/>
    <w:rsid w:val="00B77AA4"/>
    <w:pPr>
      <w:spacing w:before="100" w:beforeAutospacing="1" w:after="100" w:afterAutospacing="1"/>
    </w:pPr>
    <w:rPr>
      <w:szCs w:val="24"/>
      <w:lang w:val="en-CA"/>
    </w:rPr>
  </w:style>
  <w:style w:type="paragraph" w:customStyle="1" w:styleId="continuedsectionsubsection">
    <w:name w:val="continuedsectionsubsection"/>
    <w:basedOn w:val="Normal"/>
    <w:rsid w:val="00B77AA4"/>
    <w:pPr>
      <w:spacing w:before="100" w:beforeAutospacing="1" w:after="100" w:afterAutospacing="1"/>
    </w:pPr>
    <w:rPr>
      <w:szCs w:val="24"/>
      <w:lang w:val="en-CA"/>
    </w:rPr>
  </w:style>
  <w:style w:type="paragraph" w:styleId="NormalWeb">
    <w:name w:val="Normal (Web)"/>
    <w:basedOn w:val="Normal"/>
    <w:uiPriority w:val="99"/>
    <w:semiHidden/>
    <w:unhideWhenUsed/>
    <w:rsid w:val="00B77AA4"/>
    <w:pPr>
      <w:spacing w:before="100" w:beforeAutospacing="1" w:after="100" w:afterAutospacing="1"/>
    </w:pPr>
    <w:rPr>
      <w:szCs w:val="24"/>
      <w:lang w:val="en-CA"/>
    </w:rPr>
  </w:style>
  <w:style w:type="character" w:customStyle="1" w:styleId="display">
    <w:name w:val="display"/>
    <w:basedOn w:val="DefaultParagraphFont"/>
    <w:rsid w:val="00B77AA4"/>
  </w:style>
  <w:style w:type="paragraph" w:customStyle="1" w:styleId="para">
    <w:name w:val="para"/>
    <w:basedOn w:val="Normal"/>
    <w:rsid w:val="00B77AA4"/>
    <w:pPr>
      <w:spacing w:before="100" w:beforeAutospacing="1" w:after="100" w:afterAutospacing="1"/>
      <w:jc w:val="both"/>
    </w:pPr>
    <w:rPr>
      <w:rFonts w:ascii="Arial" w:hAnsi="Arial" w:cs="Arial"/>
      <w:color w:val="3A3A3A"/>
      <w:szCs w:val="24"/>
      <w:lang w:val="en-CA"/>
    </w:rPr>
  </w:style>
  <w:style w:type="paragraph" w:customStyle="1" w:styleId="page">
    <w:name w:val="page"/>
    <w:basedOn w:val="Normal"/>
    <w:rsid w:val="00B77AA4"/>
    <w:pPr>
      <w:spacing w:before="100" w:beforeAutospacing="1" w:after="100" w:afterAutospacing="1"/>
    </w:pPr>
    <w:rPr>
      <w:rFonts w:ascii="Arial" w:hAnsi="Arial" w:cs="Arial"/>
      <w:i/>
      <w:iCs/>
      <w:color w:val="3A3A3A"/>
      <w:sz w:val="20"/>
      <w:lang w:val="en-CA"/>
    </w:rPr>
  </w:style>
  <w:style w:type="paragraph" w:styleId="FootnoteText">
    <w:name w:val="footnote text"/>
    <w:basedOn w:val="Normal"/>
    <w:link w:val="FootnoteTextChar"/>
    <w:uiPriority w:val="99"/>
    <w:semiHidden/>
    <w:unhideWhenUsed/>
    <w:rsid w:val="00B77AA4"/>
    <w:rPr>
      <w:sz w:val="20"/>
      <w:lang w:val="en-CA"/>
    </w:rPr>
  </w:style>
  <w:style w:type="character" w:customStyle="1" w:styleId="FootnoteTextChar">
    <w:name w:val="Footnote Text Char"/>
    <w:basedOn w:val="DefaultParagraphFont"/>
    <w:link w:val="FootnoteText"/>
    <w:uiPriority w:val="99"/>
    <w:semiHidden/>
    <w:rsid w:val="00B77AA4"/>
  </w:style>
  <w:style w:type="character" w:styleId="FootnoteReference">
    <w:name w:val="footnote reference"/>
    <w:basedOn w:val="DefaultParagraphFont"/>
    <w:uiPriority w:val="99"/>
    <w:semiHidden/>
    <w:unhideWhenUsed/>
    <w:rsid w:val="00B77AA4"/>
    <w:rPr>
      <w:vertAlign w:val="superscript"/>
    </w:rPr>
  </w:style>
  <w:style w:type="paragraph" w:styleId="EndnoteText">
    <w:name w:val="endnote text"/>
    <w:basedOn w:val="Normal"/>
    <w:link w:val="EndnoteTextChar"/>
    <w:uiPriority w:val="99"/>
    <w:semiHidden/>
    <w:unhideWhenUsed/>
    <w:rsid w:val="00B77AA4"/>
    <w:rPr>
      <w:sz w:val="20"/>
      <w:lang w:val="en-CA"/>
    </w:rPr>
  </w:style>
  <w:style w:type="character" w:customStyle="1" w:styleId="EndnoteTextChar">
    <w:name w:val="Endnote Text Char"/>
    <w:basedOn w:val="DefaultParagraphFont"/>
    <w:link w:val="EndnoteText"/>
    <w:uiPriority w:val="99"/>
    <w:semiHidden/>
    <w:rsid w:val="00B77AA4"/>
  </w:style>
  <w:style w:type="character" w:styleId="EndnoteReference">
    <w:name w:val="endnote reference"/>
    <w:basedOn w:val="DefaultParagraphFont"/>
    <w:uiPriority w:val="99"/>
    <w:semiHidden/>
    <w:unhideWhenUsed/>
    <w:rsid w:val="00B77AA4"/>
    <w:rPr>
      <w:vertAlign w:val="superscript"/>
    </w:rPr>
  </w:style>
  <w:style w:type="table" w:customStyle="1" w:styleId="TableGrid1">
    <w:name w:val="Table Grid1"/>
    <w:basedOn w:val="TableNormal"/>
    <w:next w:val="TableGrid"/>
    <w:uiPriority w:val="59"/>
    <w:rsid w:val="005A65A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E324-C982-4351-BAE3-430E4087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17501</Words>
  <Characters>92094</Characters>
  <Application>Microsoft Office Word</Application>
  <DocSecurity>0</DocSecurity>
  <Lines>767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2012-07-13T18:53:00Z</dcterms:created>
  <dcterms:modified xsi:type="dcterms:W3CDTF">2013-02-25T18:24:00Z</dcterms:modified>
</cp:coreProperties>
</file>